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color w:val="auto"/>
          <w:lang w:eastAsia="zh-CN"/>
        </w:rPr>
      </w:pPr>
      <w:r>
        <w:rPr>
          <w:rFonts w:hint="eastAsia" w:eastAsia="宋体"/>
          <w:color w:val="auto"/>
          <w:lang w:eastAsia="zh-CN"/>
        </w:rPr>
        <w:drawing>
          <wp:anchor distT="0" distB="0" distL="114300" distR="114300" simplePos="0" relativeHeight="251659264" behindDoc="0" locked="0" layoutInCell="1" allowOverlap="1">
            <wp:simplePos x="0" y="0"/>
            <wp:positionH relativeFrom="column">
              <wp:posOffset>-2306955</wp:posOffset>
            </wp:positionH>
            <wp:positionV relativeFrom="paragraph">
              <wp:posOffset>620395</wp:posOffset>
            </wp:positionV>
            <wp:extent cx="10824210" cy="7654290"/>
            <wp:effectExtent l="0" t="0" r="3810" b="15240"/>
            <wp:wrapNone/>
            <wp:docPr id="2" name="图片 2" descr="img-6171842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617184227-0001"/>
                    <pic:cNvPicPr>
                      <a:picLocks noChangeAspect="1"/>
                    </pic:cNvPicPr>
                  </pic:nvPicPr>
                  <pic:blipFill>
                    <a:blip r:embed="rId7"/>
                    <a:stretch>
                      <a:fillRect/>
                    </a:stretch>
                  </pic:blipFill>
                  <pic:spPr>
                    <a:xfrm rot="16200000">
                      <a:off x="0" y="0"/>
                      <a:ext cx="10824210" cy="7654290"/>
                    </a:xfrm>
                    <a:prstGeom prst="rect">
                      <a:avLst/>
                    </a:prstGeom>
                  </pic:spPr>
                </pic:pic>
              </a:graphicData>
            </a:graphic>
          </wp:anchor>
        </w:drawing>
      </w:r>
    </w:p>
    <w:p>
      <w:pPr>
        <w:rPr>
          <w:color w:val="auto"/>
        </w:rPr>
      </w:pPr>
    </w:p>
    <w:p>
      <w:pPr>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sectPr>
          <w:footerReference r:id="rId3" w:type="default"/>
          <w:pgSz w:w="11906" w:h="16838"/>
          <w:pgMar w:top="1440" w:right="1134" w:bottom="1440" w:left="1134" w:header="851" w:footer="992" w:gutter="0"/>
          <w:pgNumType w:start="0"/>
          <w:cols w:space="720" w:num="1"/>
          <w:docGrid w:linePitch="312" w:charSpace="0"/>
        </w:sectPr>
      </w:pPr>
    </w:p>
    <w:p>
      <w:pPr>
        <w:overflowPunct w:val="0"/>
        <w:topLinePunct/>
        <w:spacing w:afterLines="100" w:line="640" w:lineRule="exact"/>
        <w:jc w:val="center"/>
        <w:rPr>
          <w:rFonts w:ascii="宋体" w:hAnsi="宋体"/>
          <w:b/>
          <w:bCs/>
          <w:color w:val="auto"/>
          <w:sz w:val="48"/>
          <w:szCs w:val="48"/>
        </w:rPr>
      </w:pPr>
      <w:r>
        <w:rPr>
          <w:rFonts w:hint="eastAsia" w:ascii="宋体" w:hAnsi="宋体"/>
          <w:b/>
          <w:bCs/>
          <w:color w:val="auto"/>
          <w:sz w:val="48"/>
          <w:szCs w:val="48"/>
        </w:rPr>
        <w:t>目 录</w:t>
      </w:r>
    </w:p>
    <w:p>
      <w:pPr>
        <w:pStyle w:val="20"/>
        <w:tabs>
          <w:tab w:val="right" w:leader="dot" w:pos="9628"/>
        </w:tabs>
        <w:spacing w:line="500" w:lineRule="exact"/>
        <w:rPr>
          <w:rFonts w:asciiTheme="minorHAnsi" w:hAnsiTheme="minorHAnsi" w:eastAsiaTheme="minorEastAsia" w:cstheme="minorBidi"/>
          <w:color w:val="auto"/>
          <w:sz w:val="28"/>
          <w:szCs w:val="28"/>
        </w:rPr>
      </w:pPr>
      <w:r>
        <w:rPr>
          <w:color w:val="auto"/>
          <w:sz w:val="28"/>
          <w:szCs w:val="28"/>
        </w:rPr>
        <w:fldChar w:fldCharType="begin"/>
      </w:r>
      <w:r>
        <w:rPr>
          <w:color w:val="auto"/>
          <w:sz w:val="28"/>
          <w:szCs w:val="28"/>
        </w:rPr>
        <w:instrText xml:space="preserve"> </w:instrText>
      </w:r>
      <w:r>
        <w:rPr>
          <w:rFonts w:hint="eastAsia"/>
          <w:color w:val="auto"/>
          <w:sz w:val="28"/>
          <w:szCs w:val="28"/>
        </w:rPr>
        <w:instrText xml:space="preserve">TOC \o "1-2" \h \z \u</w:instrText>
      </w:r>
      <w:r>
        <w:rPr>
          <w:color w:val="auto"/>
          <w:sz w:val="28"/>
          <w:szCs w:val="28"/>
        </w:rPr>
        <w:instrText xml:space="preserve"> </w:instrText>
      </w:r>
      <w:r>
        <w:rPr>
          <w:color w:val="auto"/>
          <w:sz w:val="28"/>
          <w:szCs w:val="28"/>
        </w:rPr>
        <w:fldChar w:fldCharType="separate"/>
      </w:r>
      <w:r>
        <w:rPr>
          <w:color w:val="auto"/>
        </w:rPr>
        <w:fldChar w:fldCharType="begin"/>
      </w:r>
      <w:r>
        <w:rPr>
          <w:color w:val="auto"/>
        </w:rPr>
        <w:instrText xml:space="preserve"> HYPERLINK \l "_Toc73278649" </w:instrText>
      </w:r>
      <w:r>
        <w:rPr>
          <w:color w:val="auto"/>
        </w:rPr>
        <w:fldChar w:fldCharType="separate"/>
      </w:r>
      <w:r>
        <w:rPr>
          <w:rStyle w:val="30"/>
          <w:rFonts w:hint="eastAsia" w:ascii="黑体" w:hAnsi="黑体" w:eastAsia="黑体" w:cs="仿宋_GB2312"/>
          <w:color w:val="auto"/>
          <w:sz w:val="28"/>
          <w:szCs w:val="28"/>
        </w:rPr>
        <w:t>第一章</w:t>
      </w:r>
      <w:r>
        <w:rPr>
          <w:rStyle w:val="30"/>
          <w:rFonts w:ascii="黑体" w:hAnsi="黑体" w:eastAsia="黑体" w:cs="仿宋_GB2312"/>
          <w:color w:val="auto"/>
          <w:sz w:val="28"/>
          <w:szCs w:val="28"/>
        </w:rPr>
        <w:t xml:space="preserve"> </w:t>
      </w:r>
      <w:r>
        <w:rPr>
          <w:rStyle w:val="30"/>
          <w:rFonts w:hint="eastAsia" w:ascii="黑体" w:hAnsi="黑体" w:eastAsia="黑体" w:cs="仿宋_GB2312"/>
          <w:color w:val="auto"/>
          <w:sz w:val="28"/>
          <w:szCs w:val="28"/>
        </w:rPr>
        <w:t>招标公告</w:t>
      </w:r>
      <w:r>
        <w:rPr>
          <w:color w:val="auto"/>
          <w:sz w:val="28"/>
          <w:szCs w:val="28"/>
        </w:rPr>
        <w:tab/>
      </w:r>
      <w:r>
        <w:rPr>
          <w:color w:val="auto"/>
          <w:sz w:val="28"/>
          <w:szCs w:val="28"/>
        </w:rPr>
        <w:fldChar w:fldCharType="begin"/>
      </w:r>
      <w:r>
        <w:rPr>
          <w:color w:val="auto"/>
          <w:sz w:val="28"/>
          <w:szCs w:val="28"/>
        </w:rPr>
        <w:instrText xml:space="preserve"> PAGEREF _Toc73278649 \h </w:instrText>
      </w:r>
      <w:r>
        <w:rPr>
          <w:color w:val="auto"/>
          <w:sz w:val="28"/>
          <w:szCs w:val="28"/>
        </w:rPr>
        <w:fldChar w:fldCharType="separate"/>
      </w:r>
      <w:r>
        <w:rPr>
          <w:color w:val="auto"/>
          <w:sz w:val="28"/>
          <w:szCs w:val="28"/>
        </w:rPr>
        <w:t>2</w:t>
      </w:r>
      <w:r>
        <w:rPr>
          <w:color w:val="auto"/>
          <w:sz w:val="28"/>
          <w:szCs w:val="28"/>
        </w:rPr>
        <w:fldChar w:fldCharType="end"/>
      </w:r>
      <w:r>
        <w:rPr>
          <w:color w:val="auto"/>
          <w:sz w:val="28"/>
          <w:szCs w:val="28"/>
        </w:rPr>
        <w:fldChar w:fldCharType="end"/>
      </w:r>
    </w:p>
    <w:p>
      <w:pPr>
        <w:pStyle w:val="20"/>
        <w:tabs>
          <w:tab w:val="right" w:leader="dot" w:pos="9628"/>
        </w:tabs>
        <w:spacing w:line="5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"_Toc73278650" </w:instrText>
      </w:r>
      <w:r>
        <w:rPr>
          <w:color w:val="auto"/>
        </w:rPr>
        <w:fldChar w:fldCharType="separate"/>
      </w:r>
      <w:r>
        <w:rPr>
          <w:rStyle w:val="30"/>
          <w:rFonts w:hint="eastAsia" w:ascii="黑体" w:hAnsi="黑体" w:eastAsia="黑体" w:cs="仿宋_GB2312"/>
          <w:color w:val="auto"/>
          <w:sz w:val="28"/>
          <w:szCs w:val="28"/>
        </w:rPr>
        <w:t>第二章</w:t>
      </w:r>
      <w:r>
        <w:rPr>
          <w:rStyle w:val="30"/>
          <w:rFonts w:ascii="黑体" w:hAnsi="黑体" w:eastAsia="黑体" w:cs="仿宋_GB2312"/>
          <w:color w:val="auto"/>
          <w:sz w:val="28"/>
          <w:szCs w:val="28"/>
        </w:rPr>
        <w:t xml:space="preserve"> </w:t>
      </w:r>
      <w:r>
        <w:rPr>
          <w:rStyle w:val="30"/>
          <w:rFonts w:hint="eastAsia" w:ascii="黑体" w:hAnsi="黑体" w:eastAsia="黑体" w:cs="仿宋_GB2312"/>
          <w:color w:val="auto"/>
          <w:sz w:val="28"/>
          <w:szCs w:val="28"/>
        </w:rPr>
        <w:t>投标人须知</w:t>
      </w:r>
      <w:r>
        <w:rPr>
          <w:color w:val="auto"/>
          <w:sz w:val="28"/>
          <w:szCs w:val="28"/>
        </w:rPr>
        <w:tab/>
      </w:r>
      <w:r>
        <w:rPr>
          <w:color w:val="auto"/>
          <w:sz w:val="28"/>
          <w:szCs w:val="28"/>
        </w:rPr>
        <w:fldChar w:fldCharType="begin"/>
      </w:r>
      <w:r>
        <w:rPr>
          <w:color w:val="auto"/>
          <w:sz w:val="28"/>
          <w:szCs w:val="28"/>
        </w:rPr>
        <w:instrText xml:space="preserve"> PAGEREF _Toc73278650 \h </w:instrText>
      </w:r>
      <w:r>
        <w:rPr>
          <w:color w:val="auto"/>
          <w:sz w:val="28"/>
          <w:szCs w:val="28"/>
        </w:rPr>
        <w:fldChar w:fldCharType="separate"/>
      </w:r>
      <w:r>
        <w:rPr>
          <w:color w:val="auto"/>
          <w:sz w:val="28"/>
          <w:szCs w:val="28"/>
        </w:rPr>
        <w:t>2</w:t>
      </w:r>
      <w:r>
        <w:rPr>
          <w:color w:val="auto"/>
          <w:sz w:val="28"/>
          <w:szCs w:val="28"/>
        </w:rPr>
        <w:fldChar w:fldCharType="end"/>
      </w:r>
      <w:r>
        <w:rPr>
          <w:color w:val="auto"/>
          <w:sz w:val="28"/>
          <w:szCs w:val="28"/>
        </w:rPr>
        <w:fldChar w:fldCharType="end"/>
      </w:r>
    </w:p>
    <w:p>
      <w:pPr>
        <w:pStyle w:val="22"/>
        <w:tabs>
          <w:tab w:val="right" w:leader="dot" w:pos="9628"/>
        </w:tabs>
        <w:spacing w:line="5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"_Toc73278651" </w:instrText>
      </w:r>
      <w:r>
        <w:rPr>
          <w:color w:val="auto"/>
        </w:rPr>
        <w:fldChar w:fldCharType="separate"/>
      </w:r>
      <w:r>
        <w:rPr>
          <w:rStyle w:val="30"/>
          <w:rFonts w:hint="eastAsia" w:ascii="仿宋" w:hAnsi="仿宋" w:eastAsia="仿宋" w:cs="仿宋_GB2312"/>
          <w:color w:val="auto"/>
          <w:sz w:val="28"/>
          <w:szCs w:val="28"/>
        </w:rPr>
        <w:t>投标人须知前附表</w:t>
      </w:r>
      <w:r>
        <w:rPr>
          <w:color w:val="auto"/>
          <w:sz w:val="28"/>
          <w:szCs w:val="28"/>
        </w:rPr>
        <w:tab/>
      </w:r>
      <w:r>
        <w:rPr>
          <w:color w:val="auto"/>
          <w:sz w:val="28"/>
          <w:szCs w:val="28"/>
        </w:rPr>
        <w:fldChar w:fldCharType="begin"/>
      </w:r>
      <w:r>
        <w:rPr>
          <w:color w:val="auto"/>
          <w:sz w:val="28"/>
          <w:szCs w:val="28"/>
        </w:rPr>
        <w:instrText xml:space="preserve"> PAGEREF _Toc73278651 \h </w:instrText>
      </w:r>
      <w:r>
        <w:rPr>
          <w:color w:val="auto"/>
          <w:sz w:val="28"/>
          <w:szCs w:val="28"/>
        </w:rPr>
        <w:fldChar w:fldCharType="separate"/>
      </w:r>
      <w:r>
        <w:rPr>
          <w:color w:val="auto"/>
          <w:sz w:val="28"/>
          <w:szCs w:val="28"/>
        </w:rPr>
        <w:t>5</w:t>
      </w:r>
      <w:r>
        <w:rPr>
          <w:color w:val="auto"/>
          <w:sz w:val="28"/>
          <w:szCs w:val="28"/>
        </w:rPr>
        <w:fldChar w:fldCharType="end"/>
      </w:r>
      <w:r>
        <w:rPr>
          <w:color w:val="auto"/>
          <w:sz w:val="28"/>
          <w:szCs w:val="28"/>
        </w:rPr>
        <w:fldChar w:fldCharType="end"/>
      </w:r>
    </w:p>
    <w:p>
      <w:pPr>
        <w:pStyle w:val="22"/>
        <w:tabs>
          <w:tab w:val="right" w:leader="dot" w:pos="9628"/>
        </w:tabs>
        <w:spacing w:line="5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"_Toc73278652" </w:instrText>
      </w:r>
      <w:r>
        <w:rPr>
          <w:color w:val="auto"/>
        </w:rPr>
        <w:fldChar w:fldCharType="separate"/>
      </w:r>
      <w:r>
        <w:rPr>
          <w:rStyle w:val="30"/>
          <w:rFonts w:ascii="仿宋_GB2312" w:eastAsia="仿宋_GB2312"/>
          <w:color w:val="auto"/>
          <w:sz w:val="28"/>
          <w:szCs w:val="28"/>
        </w:rPr>
        <w:t>1.</w:t>
      </w:r>
      <w:r>
        <w:rPr>
          <w:rStyle w:val="30"/>
          <w:rFonts w:hint="eastAsia" w:ascii="仿宋_GB2312" w:eastAsia="仿宋_GB2312"/>
          <w:color w:val="auto"/>
          <w:sz w:val="28"/>
          <w:szCs w:val="28"/>
        </w:rPr>
        <w:t>总</w:t>
      </w:r>
      <w:r>
        <w:rPr>
          <w:rStyle w:val="30"/>
          <w:rFonts w:ascii="仿宋_GB2312" w:eastAsia="仿宋_GB2312"/>
          <w:color w:val="auto"/>
          <w:sz w:val="28"/>
          <w:szCs w:val="28"/>
        </w:rPr>
        <w:t xml:space="preserve">  </w:t>
      </w:r>
      <w:r>
        <w:rPr>
          <w:rStyle w:val="30"/>
          <w:rFonts w:hint="eastAsia" w:ascii="仿宋_GB2312" w:eastAsia="仿宋_GB2312"/>
          <w:color w:val="auto"/>
          <w:sz w:val="28"/>
          <w:szCs w:val="28"/>
        </w:rPr>
        <w:t>则</w:t>
      </w:r>
      <w:r>
        <w:rPr>
          <w:color w:val="auto"/>
          <w:sz w:val="28"/>
          <w:szCs w:val="28"/>
        </w:rPr>
        <w:tab/>
      </w:r>
      <w:r>
        <w:rPr>
          <w:color w:val="auto"/>
          <w:sz w:val="28"/>
          <w:szCs w:val="28"/>
        </w:rPr>
        <w:fldChar w:fldCharType="begin"/>
      </w:r>
      <w:r>
        <w:rPr>
          <w:color w:val="auto"/>
          <w:sz w:val="28"/>
          <w:szCs w:val="28"/>
        </w:rPr>
        <w:instrText xml:space="preserve"> PAGEREF _Toc73278652 \h </w:instrText>
      </w:r>
      <w:r>
        <w:rPr>
          <w:color w:val="auto"/>
          <w:sz w:val="28"/>
          <w:szCs w:val="28"/>
        </w:rPr>
        <w:fldChar w:fldCharType="separate"/>
      </w:r>
      <w:r>
        <w:rPr>
          <w:color w:val="auto"/>
          <w:sz w:val="28"/>
          <w:szCs w:val="28"/>
        </w:rPr>
        <w:t>12</w:t>
      </w:r>
      <w:r>
        <w:rPr>
          <w:color w:val="auto"/>
          <w:sz w:val="28"/>
          <w:szCs w:val="28"/>
        </w:rPr>
        <w:fldChar w:fldCharType="end"/>
      </w:r>
      <w:r>
        <w:rPr>
          <w:color w:val="auto"/>
          <w:sz w:val="28"/>
          <w:szCs w:val="28"/>
        </w:rPr>
        <w:fldChar w:fldCharType="end"/>
      </w:r>
    </w:p>
    <w:p>
      <w:pPr>
        <w:pStyle w:val="22"/>
        <w:tabs>
          <w:tab w:val="right" w:leader="dot" w:pos="9628"/>
        </w:tabs>
        <w:spacing w:line="5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"_Toc73278664" </w:instrText>
      </w:r>
      <w:r>
        <w:rPr>
          <w:color w:val="auto"/>
        </w:rPr>
        <w:fldChar w:fldCharType="separate"/>
      </w:r>
      <w:r>
        <w:rPr>
          <w:rStyle w:val="30"/>
          <w:rFonts w:ascii="仿宋_GB2312" w:eastAsia="仿宋_GB2312"/>
          <w:color w:val="auto"/>
          <w:sz w:val="28"/>
          <w:szCs w:val="28"/>
        </w:rPr>
        <w:t>2.</w:t>
      </w:r>
      <w:r>
        <w:rPr>
          <w:rStyle w:val="30"/>
          <w:rFonts w:hint="eastAsia" w:ascii="仿宋_GB2312" w:eastAsia="仿宋_GB2312"/>
          <w:color w:val="auto"/>
          <w:sz w:val="28"/>
          <w:szCs w:val="28"/>
        </w:rPr>
        <w:t>招标文件</w:t>
      </w:r>
      <w:r>
        <w:rPr>
          <w:color w:val="auto"/>
          <w:sz w:val="28"/>
          <w:szCs w:val="28"/>
        </w:rPr>
        <w:tab/>
      </w:r>
      <w:r>
        <w:rPr>
          <w:color w:val="auto"/>
          <w:sz w:val="28"/>
          <w:szCs w:val="28"/>
        </w:rPr>
        <w:fldChar w:fldCharType="begin"/>
      </w:r>
      <w:r>
        <w:rPr>
          <w:color w:val="auto"/>
          <w:sz w:val="28"/>
          <w:szCs w:val="28"/>
        </w:rPr>
        <w:instrText xml:space="preserve"> PAGEREF _Toc73278664 \h </w:instrText>
      </w:r>
      <w:r>
        <w:rPr>
          <w:color w:val="auto"/>
          <w:sz w:val="28"/>
          <w:szCs w:val="28"/>
        </w:rPr>
        <w:fldChar w:fldCharType="separate"/>
      </w:r>
      <w:r>
        <w:rPr>
          <w:color w:val="auto"/>
          <w:sz w:val="28"/>
          <w:szCs w:val="28"/>
        </w:rPr>
        <w:t>16</w:t>
      </w:r>
      <w:r>
        <w:rPr>
          <w:color w:val="auto"/>
          <w:sz w:val="28"/>
          <w:szCs w:val="28"/>
        </w:rPr>
        <w:fldChar w:fldCharType="end"/>
      </w:r>
      <w:r>
        <w:rPr>
          <w:color w:val="auto"/>
          <w:sz w:val="28"/>
          <w:szCs w:val="28"/>
        </w:rPr>
        <w:fldChar w:fldCharType="end"/>
      </w:r>
    </w:p>
    <w:p>
      <w:pPr>
        <w:pStyle w:val="22"/>
        <w:tabs>
          <w:tab w:val="right" w:leader="dot" w:pos="9628"/>
        </w:tabs>
        <w:spacing w:line="5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"_Toc73278668" </w:instrText>
      </w:r>
      <w:r>
        <w:rPr>
          <w:color w:val="auto"/>
        </w:rPr>
        <w:fldChar w:fldCharType="separate"/>
      </w:r>
      <w:r>
        <w:rPr>
          <w:rStyle w:val="30"/>
          <w:rFonts w:ascii="仿宋_GB2312" w:eastAsia="仿宋_GB2312"/>
          <w:color w:val="auto"/>
          <w:sz w:val="28"/>
          <w:szCs w:val="28"/>
        </w:rPr>
        <w:t>3.</w:t>
      </w:r>
      <w:r>
        <w:rPr>
          <w:rStyle w:val="30"/>
          <w:rFonts w:hint="eastAsia" w:ascii="仿宋_GB2312" w:eastAsia="仿宋_GB2312"/>
          <w:color w:val="auto"/>
          <w:sz w:val="28"/>
          <w:szCs w:val="28"/>
        </w:rPr>
        <w:t>投标人</w:t>
      </w:r>
      <w:r>
        <w:rPr>
          <w:color w:val="auto"/>
          <w:sz w:val="28"/>
          <w:szCs w:val="28"/>
        </w:rPr>
        <w:tab/>
      </w:r>
      <w:r>
        <w:rPr>
          <w:color w:val="auto"/>
          <w:sz w:val="28"/>
          <w:szCs w:val="28"/>
        </w:rPr>
        <w:fldChar w:fldCharType="begin"/>
      </w:r>
      <w:r>
        <w:rPr>
          <w:color w:val="auto"/>
          <w:sz w:val="28"/>
          <w:szCs w:val="28"/>
        </w:rPr>
        <w:instrText xml:space="preserve"> PAGEREF _Toc73278668 \h </w:instrText>
      </w:r>
      <w:r>
        <w:rPr>
          <w:color w:val="auto"/>
          <w:sz w:val="28"/>
          <w:szCs w:val="28"/>
        </w:rPr>
        <w:fldChar w:fldCharType="separate"/>
      </w:r>
      <w:r>
        <w:rPr>
          <w:color w:val="auto"/>
          <w:sz w:val="28"/>
          <w:szCs w:val="28"/>
        </w:rPr>
        <w:t>18</w:t>
      </w:r>
      <w:r>
        <w:rPr>
          <w:color w:val="auto"/>
          <w:sz w:val="28"/>
          <w:szCs w:val="28"/>
        </w:rPr>
        <w:fldChar w:fldCharType="end"/>
      </w:r>
      <w:r>
        <w:rPr>
          <w:color w:val="auto"/>
          <w:sz w:val="28"/>
          <w:szCs w:val="28"/>
        </w:rPr>
        <w:fldChar w:fldCharType="end"/>
      </w:r>
    </w:p>
    <w:p>
      <w:pPr>
        <w:pStyle w:val="22"/>
        <w:tabs>
          <w:tab w:val="right" w:leader="dot" w:pos="9628"/>
        </w:tabs>
        <w:spacing w:line="5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"_Toc73278676" </w:instrText>
      </w:r>
      <w:r>
        <w:rPr>
          <w:color w:val="auto"/>
        </w:rPr>
        <w:fldChar w:fldCharType="separate"/>
      </w:r>
      <w:r>
        <w:rPr>
          <w:rStyle w:val="30"/>
          <w:rFonts w:ascii="仿宋_GB2312" w:eastAsia="仿宋_GB2312"/>
          <w:color w:val="auto"/>
          <w:sz w:val="28"/>
          <w:szCs w:val="28"/>
        </w:rPr>
        <w:t>4.</w:t>
      </w:r>
      <w:r>
        <w:rPr>
          <w:rStyle w:val="30"/>
          <w:rFonts w:hint="eastAsia" w:ascii="仿宋_GB2312" w:eastAsia="仿宋_GB2312"/>
          <w:color w:val="auto"/>
          <w:sz w:val="28"/>
          <w:szCs w:val="28"/>
        </w:rPr>
        <w:t>投标文件</w:t>
      </w:r>
      <w:r>
        <w:rPr>
          <w:color w:val="auto"/>
          <w:sz w:val="28"/>
          <w:szCs w:val="28"/>
        </w:rPr>
        <w:tab/>
      </w:r>
      <w:r>
        <w:rPr>
          <w:color w:val="auto"/>
          <w:sz w:val="28"/>
          <w:szCs w:val="28"/>
        </w:rPr>
        <w:fldChar w:fldCharType="begin"/>
      </w:r>
      <w:r>
        <w:rPr>
          <w:color w:val="auto"/>
          <w:sz w:val="28"/>
          <w:szCs w:val="28"/>
        </w:rPr>
        <w:instrText xml:space="preserve"> PAGEREF _Toc73278676 \h </w:instrText>
      </w:r>
      <w:r>
        <w:rPr>
          <w:color w:val="auto"/>
          <w:sz w:val="28"/>
          <w:szCs w:val="28"/>
        </w:rPr>
        <w:fldChar w:fldCharType="separate"/>
      </w:r>
      <w:r>
        <w:rPr>
          <w:color w:val="auto"/>
          <w:sz w:val="28"/>
          <w:szCs w:val="28"/>
        </w:rPr>
        <w:t>24</w:t>
      </w:r>
      <w:r>
        <w:rPr>
          <w:color w:val="auto"/>
          <w:sz w:val="28"/>
          <w:szCs w:val="28"/>
        </w:rPr>
        <w:fldChar w:fldCharType="end"/>
      </w:r>
      <w:r>
        <w:rPr>
          <w:color w:val="auto"/>
          <w:sz w:val="28"/>
          <w:szCs w:val="28"/>
        </w:rPr>
        <w:fldChar w:fldCharType="end"/>
      </w:r>
    </w:p>
    <w:p>
      <w:pPr>
        <w:pStyle w:val="22"/>
        <w:tabs>
          <w:tab w:val="right" w:leader="dot" w:pos="9628"/>
        </w:tabs>
        <w:spacing w:line="5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"_Toc73278683" </w:instrText>
      </w:r>
      <w:r>
        <w:rPr>
          <w:color w:val="auto"/>
        </w:rPr>
        <w:fldChar w:fldCharType="separate"/>
      </w:r>
      <w:r>
        <w:rPr>
          <w:rStyle w:val="30"/>
          <w:rFonts w:ascii="仿宋_GB2312" w:eastAsia="仿宋_GB2312"/>
          <w:color w:val="auto"/>
          <w:sz w:val="28"/>
          <w:szCs w:val="28"/>
        </w:rPr>
        <w:t xml:space="preserve">5. </w:t>
      </w:r>
      <w:r>
        <w:rPr>
          <w:rStyle w:val="30"/>
          <w:rFonts w:hint="eastAsia" w:ascii="仿宋_GB2312" w:eastAsia="仿宋_GB2312"/>
          <w:color w:val="auto"/>
          <w:sz w:val="28"/>
          <w:szCs w:val="28"/>
        </w:rPr>
        <w:t>投标</w:t>
      </w:r>
      <w:r>
        <w:rPr>
          <w:color w:val="auto"/>
          <w:sz w:val="28"/>
          <w:szCs w:val="28"/>
        </w:rPr>
        <w:tab/>
      </w:r>
      <w:r>
        <w:rPr>
          <w:color w:val="auto"/>
          <w:sz w:val="28"/>
          <w:szCs w:val="28"/>
        </w:rPr>
        <w:fldChar w:fldCharType="begin"/>
      </w:r>
      <w:r>
        <w:rPr>
          <w:color w:val="auto"/>
          <w:sz w:val="28"/>
          <w:szCs w:val="28"/>
        </w:rPr>
        <w:instrText xml:space="preserve"> PAGEREF _Toc73278683 \h </w:instrText>
      </w:r>
      <w:r>
        <w:rPr>
          <w:color w:val="auto"/>
          <w:sz w:val="28"/>
          <w:szCs w:val="28"/>
        </w:rPr>
        <w:fldChar w:fldCharType="separate"/>
      </w:r>
      <w:r>
        <w:rPr>
          <w:color w:val="auto"/>
          <w:sz w:val="28"/>
          <w:szCs w:val="28"/>
        </w:rPr>
        <w:t>28</w:t>
      </w:r>
      <w:r>
        <w:rPr>
          <w:color w:val="auto"/>
          <w:sz w:val="28"/>
          <w:szCs w:val="28"/>
        </w:rPr>
        <w:fldChar w:fldCharType="end"/>
      </w:r>
      <w:r>
        <w:rPr>
          <w:color w:val="auto"/>
          <w:sz w:val="28"/>
          <w:szCs w:val="28"/>
        </w:rPr>
        <w:fldChar w:fldCharType="end"/>
      </w:r>
    </w:p>
    <w:p>
      <w:pPr>
        <w:pStyle w:val="22"/>
        <w:tabs>
          <w:tab w:val="right" w:leader="dot" w:pos="9628"/>
        </w:tabs>
        <w:spacing w:line="5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"_Toc73278688" </w:instrText>
      </w:r>
      <w:r>
        <w:rPr>
          <w:color w:val="auto"/>
        </w:rPr>
        <w:fldChar w:fldCharType="separate"/>
      </w:r>
      <w:r>
        <w:rPr>
          <w:rStyle w:val="30"/>
          <w:rFonts w:ascii="仿宋_GB2312" w:eastAsia="仿宋_GB2312"/>
          <w:color w:val="auto"/>
          <w:sz w:val="28"/>
          <w:szCs w:val="28"/>
        </w:rPr>
        <w:t>6.</w:t>
      </w:r>
      <w:r>
        <w:rPr>
          <w:rStyle w:val="30"/>
          <w:rFonts w:hint="eastAsia" w:ascii="仿宋_GB2312" w:eastAsia="仿宋_GB2312"/>
          <w:color w:val="auto"/>
          <w:sz w:val="28"/>
          <w:szCs w:val="28"/>
        </w:rPr>
        <w:t>开标</w:t>
      </w:r>
      <w:r>
        <w:rPr>
          <w:color w:val="auto"/>
          <w:sz w:val="28"/>
          <w:szCs w:val="28"/>
        </w:rPr>
        <w:tab/>
      </w:r>
      <w:r>
        <w:rPr>
          <w:color w:val="auto"/>
          <w:sz w:val="28"/>
          <w:szCs w:val="28"/>
        </w:rPr>
        <w:fldChar w:fldCharType="begin"/>
      </w:r>
      <w:r>
        <w:rPr>
          <w:color w:val="auto"/>
          <w:sz w:val="28"/>
          <w:szCs w:val="28"/>
        </w:rPr>
        <w:instrText xml:space="preserve"> PAGEREF _Toc73278688 \h </w:instrText>
      </w:r>
      <w:r>
        <w:rPr>
          <w:color w:val="auto"/>
          <w:sz w:val="28"/>
          <w:szCs w:val="28"/>
        </w:rPr>
        <w:fldChar w:fldCharType="separate"/>
      </w:r>
      <w:r>
        <w:rPr>
          <w:color w:val="auto"/>
          <w:sz w:val="28"/>
          <w:szCs w:val="28"/>
        </w:rPr>
        <w:t>30</w:t>
      </w:r>
      <w:r>
        <w:rPr>
          <w:color w:val="auto"/>
          <w:sz w:val="28"/>
          <w:szCs w:val="28"/>
        </w:rPr>
        <w:fldChar w:fldCharType="end"/>
      </w:r>
      <w:r>
        <w:rPr>
          <w:color w:val="auto"/>
          <w:sz w:val="28"/>
          <w:szCs w:val="28"/>
        </w:rPr>
        <w:fldChar w:fldCharType="end"/>
      </w:r>
    </w:p>
    <w:p>
      <w:pPr>
        <w:pStyle w:val="22"/>
        <w:tabs>
          <w:tab w:val="right" w:leader="dot" w:pos="9628"/>
        </w:tabs>
        <w:spacing w:line="5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"_Toc73278691" </w:instrText>
      </w:r>
      <w:r>
        <w:rPr>
          <w:color w:val="auto"/>
        </w:rPr>
        <w:fldChar w:fldCharType="separate"/>
      </w:r>
      <w:r>
        <w:rPr>
          <w:rStyle w:val="30"/>
          <w:rFonts w:ascii="仿宋_GB2312" w:eastAsia="仿宋_GB2312"/>
          <w:color w:val="auto"/>
          <w:sz w:val="28"/>
          <w:szCs w:val="28"/>
        </w:rPr>
        <w:t xml:space="preserve">7. </w:t>
      </w:r>
      <w:r>
        <w:rPr>
          <w:rStyle w:val="30"/>
          <w:rFonts w:hint="eastAsia" w:ascii="仿宋_GB2312" w:eastAsia="仿宋_GB2312"/>
          <w:color w:val="auto"/>
          <w:sz w:val="28"/>
          <w:szCs w:val="28"/>
        </w:rPr>
        <w:t>投标人资格审查</w:t>
      </w:r>
      <w:r>
        <w:rPr>
          <w:color w:val="auto"/>
          <w:sz w:val="28"/>
          <w:szCs w:val="28"/>
        </w:rPr>
        <w:tab/>
      </w:r>
      <w:r>
        <w:rPr>
          <w:color w:val="auto"/>
          <w:sz w:val="28"/>
          <w:szCs w:val="28"/>
        </w:rPr>
        <w:fldChar w:fldCharType="begin"/>
      </w:r>
      <w:r>
        <w:rPr>
          <w:color w:val="auto"/>
          <w:sz w:val="28"/>
          <w:szCs w:val="28"/>
        </w:rPr>
        <w:instrText xml:space="preserve"> PAGEREF _Toc73278691 \h </w:instrText>
      </w:r>
      <w:r>
        <w:rPr>
          <w:color w:val="auto"/>
          <w:sz w:val="28"/>
          <w:szCs w:val="28"/>
        </w:rPr>
        <w:fldChar w:fldCharType="separate"/>
      </w:r>
      <w:r>
        <w:rPr>
          <w:color w:val="auto"/>
          <w:sz w:val="28"/>
          <w:szCs w:val="28"/>
        </w:rPr>
        <w:t>31</w:t>
      </w:r>
      <w:r>
        <w:rPr>
          <w:color w:val="auto"/>
          <w:sz w:val="28"/>
          <w:szCs w:val="28"/>
        </w:rPr>
        <w:fldChar w:fldCharType="end"/>
      </w:r>
      <w:r>
        <w:rPr>
          <w:color w:val="auto"/>
          <w:sz w:val="28"/>
          <w:szCs w:val="28"/>
        </w:rPr>
        <w:fldChar w:fldCharType="end"/>
      </w:r>
    </w:p>
    <w:p>
      <w:pPr>
        <w:pStyle w:val="22"/>
        <w:tabs>
          <w:tab w:val="right" w:leader="dot" w:pos="9628"/>
        </w:tabs>
        <w:spacing w:line="5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"_Toc73278694" </w:instrText>
      </w:r>
      <w:r>
        <w:rPr>
          <w:color w:val="auto"/>
        </w:rPr>
        <w:fldChar w:fldCharType="separate"/>
      </w:r>
      <w:r>
        <w:rPr>
          <w:rStyle w:val="30"/>
          <w:rFonts w:ascii="仿宋_GB2312" w:eastAsia="仿宋_GB2312"/>
          <w:color w:val="auto"/>
          <w:sz w:val="28"/>
          <w:szCs w:val="28"/>
        </w:rPr>
        <w:t xml:space="preserve">8. </w:t>
      </w:r>
      <w:r>
        <w:rPr>
          <w:rStyle w:val="30"/>
          <w:rFonts w:hint="eastAsia" w:ascii="仿宋_GB2312" w:eastAsia="仿宋_GB2312"/>
          <w:color w:val="auto"/>
          <w:sz w:val="28"/>
          <w:szCs w:val="28"/>
        </w:rPr>
        <w:t>评标</w:t>
      </w:r>
      <w:r>
        <w:rPr>
          <w:color w:val="auto"/>
          <w:sz w:val="28"/>
          <w:szCs w:val="28"/>
        </w:rPr>
        <w:tab/>
      </w:r>
      <w:r>
        <w:rPr>
          <w:color w:val="auto"/>
          <w:sz w:val="28"/>
          <w:szCs w:val="28"/>
        </w:rPr>
        <w:fldChar w:fldCharType="begin"/>
      </w:r>
      <w:r>
        <w:rPr>
          <w:color w:val="auto"/>
          <w:sz w:val="28"/>
          <w:szCs w:val="28"/>
        </w:rPr>
        <w:instrText xml:space="preserve"> PAGEREF _Toc73278694 \h </w:instrText>
      </w:r>
      <w:r>
        <w:rPr>
          <w:color w:val="auto"/>
          <w:sz w:val="28"/>
          <w:szCs w:val="28"/>
        </w:rPr>
        <w:fldChar w:fldCharType="separate"/>
      </w:r>
      <w:r>
        <w:rPr>
          <w:color w:val="auto"/>
          <w:sz w:val="28"/>
          <w:szCs w:val="28"/>
        </w:rPr>
        <w:t>34</w:t>
      </w:r>
      <w:r>
        <w:rPr>
          <w:color w:val="auto"/>
          <w:sz w:val="28"/>
          <w:szCs w:val="28"/>
        </w:rPr>
        <w:fldChar w:fldCharType="end"/>
      </w:r>
      <w:r>
        <w:rPr>
          <w:color w:val="auto"/>
          <w:sz w:val="28"/>
          <w:szCs w:val="28"/>
        </w:rPr>
        <w:fldChar w:fldCharType="end"/>
      </w:r>
    </w:p>
    <w:p>
      <w:pPr>
        <w:pStyle w:val="22"/>
        <w:tabs>
          <w:tab w:val="right" w:leader="dot" w:pos="9628"/>
        </w:tabs>
        <w:spacing w:line="5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"_Toc73278698" </w:instrText>
      </w:r>
      <w:r>
        <w:rPr>
          <w:color w:val="auto"/>
        </w:rPr>
        <w:fldChar w:fldCharType="separate"/>
      </w:r>
      <w:r>
        <w:rPr>
          <w:rStyle w:val="30"/>
          <w:rFonts w:ascii="仿宋_GB2312" w:eastAsia="仿宋_GB2312"/>
          <w:color w:val="auto"/>
          <w:sz w:val="28"/>
          <w:szCs w:val="28"/>
        </w:rPr>
        <w:t>9.</w:t>
      </w:r>
      <w:r>
        <w:rPr>
          <w:rStyle w:val="30"/>
          <w:rFonts w:hint="eastAsia" w:ascii="仿宋_GB2312" w:eastAsia="仿宋_GB2312"/>
          <w:color w:val="auto"/>
          <w:sz w:val="28"/>
          <w:szCs w:val="28"/>
        </w:rPr>
        <w:t>定标</w:t>
      </w:r>
      <w:r>
        <w:rPr>
          <w:color w:val="auto"/>
          <w:sz w:val="28"/>
          <w:szCs w:val="28"/>
        </w:rPr>
        <w:tab/>
      </w:r>
      <w:r>
        <w:rPr>
          <w:color w:val="auto"/>
          <w:sz w:val="28"/>
          <w:szCs w:val="28"/>
        </w:rPr>
        <w:fldChar w:fldCharType="begin"/>
      </w:r>
      <w:r>
        <w:rPr>
          <w:color w:val="auto"/>
          <w:sz w:val="28"/>
          <w:szCs w:val="28"/>
        </w:rPr>
        <w:instrText xml:space="preserve"> PAGEREF _Toc73278698 \h </w:instrText>
      </w:r>
      <w:r>
        <w:rPr>
          <w:color w:val="auto"/>
          <w:sz w:val="28"/>
          <w:szCs w:val="28"/>
        </w:rPr>
        <w:fldChar w:fldCharType="separate"/>
      </w:r>
      <w:r>
        <w:rPr>
          <w:color w:val="auto"/>
          <w:sz w:val="28"/>
          <w:szCs w:val="28"/>
        </w:rPr>
        <w:t>38</w:t>
      </w:r>
      <w:r>
        <w:rPr>
          <w:color w:val="auto"/>
          <w:sz w:val="28"/>
          <w:szCs w:val="28"/>
        </w:rPr>
        <w:fldChar w:fldCharType="end"/>
      </w:r>
      <w:r>
        <w:rPr>
          <w:color w:val="auto"/>
          <w:sz w:val="28"/>
          <w:szCs w:val="28"/>
        </w:rPr>
        <w:fldChar w:fldCharType="end"/>
      </w:r>
    </w:p>
    <w:p>
      <w:pPr>
        <w:pStyle w:val="22"/>
        <w:tabs>
          <w:tab w:val="right" w:leader="dot" w:pos="9628"/>
        </w:tabs>
        <w:spacing w:line="5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"_Toc73278702" </w:instrText>
      </w:r>
      <w:r>
        <w:rPr>
          <w:color w:val="auto"/>
        </w:rPr>
        <w:fldChar w:fldCharType="separate"/>
      </w:r>
      <w:r>
        <w:rPr>
          <w:rStyle w:val="30"/>
          <w:rFonts w:ascii="仿宋_GB2312" w:eastAsia="仿宋_GB2312"/>
          <w:color w:val="auto"/>
          <w:sz w:val="28"/>
          <w:szCs w:val="28"/>
        </w:rPr>
        <w:t>10.</w:t>
      </w:r>
      <w:r>
        <w:rPr>
          <w:rStyle w:val="30"/>
          <w:rFonts w:hint="eastAsia" w:ascii="仿宋_GB2312" w:eastAsia="仿宋_GB2312"/>
          <w:color w:val="auto"/>
          <w:sz w:val="28"/>
          <w:szCs w:val="28"/>
        </w:rPr>
        <w:t>合同授予</w:t>
      </w:r>
      <w:r>
        <w:rPr>
          <w:color w:val="auto"/>
          <w:sz w:val="28"/>
          <w:szCs w:val="28"/>
        </w:rPr>
        <w:tab/>
      </w:r>
      <w:r>
        <w:rPr>
          <w:color w:val="auto"/>
          <w:sz w:val="28"/>
          <w:szCs w:val="28"/>
        </w:rPr>
        <w:fldChar w:fldCharType="begin"/>
      </w:r>
      <w:r>
        <w:rPr>
          <w:color w:val="auto"/>
          <w:sz w:val="28"/>
          <w:szCs w:val="28"/>
        </w:rPr>
        <w:instrText xml:space="preserve"> PAGEREF _Toc73278702 \h </w:instrText>
      </w:r>
      <w:r>
        <w:rPr>
          <w:color w:val="auto"/>
          <w:sz w:val="28"/>
          <w:szCs w:val="28"/>
        </w:rPr>
        <w:fldChar w:fldCharType="separate"/>
      </w:r>
      <w:r>
        <w:rPr>
          <w:color w:val="auto"/>
          <w:sz w:val="28"/>
          <w:szCs w:val="28"/>
        </w:rPr>
        <w:t>40</w:t>
      </w:r>
      <w:r>
        <w:rPr>
          <w:color w:val="auto"/>
          <w:sz w:val="28"/>
          <w:szCs w:val="28"/>
        </w:rPr>
        <w:fldChar w:fldCharType="end"/>
      </w:r>
      <w:r>
        <w:rPr>
          <w:color w:val="auto"/>
          <w:sz w:val="28"/>
          <w:szCs w:val="28"/>
        </w:rPr>
        <w:fldChar w:fldCharType="end"/>
      </w:r>
    </w:p>
    <w:p>
      <w:pPr>
        <w:pStyle w:val="22"/>
        <w:tabs>
          <w:tab w:val="right" w:leader="dot" w:pos="9628"/>
        </w:tabs>
        <w:spacing w:line="5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"_Toc73278706" </w:instrText>
      </w:r>
      <w:r>
        <w:rPr>
          <w:color w:val="auto"/>
        </w:rPr>
        <w:fldChar w:fldCharType="separate"/>
      </w:r>
      <w:r>
        <w:rPr>
          <w:rStyle w:val="30"/>
          <w:rFonts w:ascii="仿宋_GB2312" w:eastAsia="仿宋_GB2312"/>
          <w:color w:val="auto"/>
          <w:sz w:val="28"/>
          <w:szCs w:val="28"/>
        </w:rPr>
        <w:t>11.</w:t>
      </w:r>
      <w:r>
        <w:rPr>
          <w:rStyle w:val="30"/>
          <w:rFonts w:hint="eastAsia" w:ascii="仿宋_GB2312" w:eastAsia="仿宋_GB2312"/>
          <w:color w:val="auto"/>
          <w:sz w:val="28"/>
          <w:szCs w:val="28"/>
        </w:rPr>
        <w:t>废标</w:t>
      </w:r>
      <w:r>
        <w:rPr>
          <w:color w:val="auto"/>
          <w:sz w:val="28"/>
          <w:szCs w:val="28"/>
        </w:rPr>
        <w:tab/>
      </w:r>
      <w:r>
        <w:rPr>
          <w:color w:val="auto"/>
          <w:sz w:val="28"/>
          <w:szCs w:val="28"/>
        </w:rPr>
        <w:fldChar w:fldCharType="begin"/>
      </w:r>
      <w:r>
        <w:rPr>
          <w:color w:val="auto"/>
          <w:sz w:val="28"/>
          <w:szCs w:val="28"/>
        </w:rPr>
        <w:instrText xml:space="preserve"> PAGEREF _Toc73278706 \h </w:instrText>
      </w:r>
      <w:r>
        <w:rPr>
          <w:color w:val="auto"/>
          <w:sz w:val="28"/>
          <w:szCs w:val="28"/>
        </w:rPr>
        <w:fldChar w:fldCharType="separate"/>
      </w:r>
      <w:r>
        <w:rPr>
          <w:color w:val="auto"/>
          <w:sz w:val="28"/>
          <w:szCs w:val="28"/>
        </w:rPr>
        <w:t>41</w:t>
      </w:r>
      <w:r>
        <w:rPr>
          <w:color w:val="auto"/>
          <w:sz w:val="28"/>
          <w:szCs w:val="28"/>
        </w:rPr>
        <w:fldChar w:fldCharType="end"/>
      </w:r>
      <w:r>
        <w:rPr>
          <w:color w:val="auto"/>
          <w:sz w:val="28"/>
          <w:szCs w:val="28"/>
        </w:rPr>
        <w:fldChar w:fldCharType="end"/>
      </w:r>
    </w:p>
    <w:p>
      <w:pPr>
        <w:pStyle w:val="22"/>
        <w:tabs>
          <w:tab w:val="right" w:leader="dot" w:pos="9628"/>
        </w:tabs>
        <w:spacing w:line="5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"_Toc73278709" </w:instrText>
      </w:r>
      <w:r>
        <w:rPr>
          <w:color w:val="auto"/>
        </w:rPr>
        <w:fldChar w:fldCharType="separate"/>
      </w:r>
      <w:r>
        <w:rPr>
          <w:rStyle w:val="30"/>
          <w:rFonts w:ascii="仿宋_GB2312" w:eastAsia="仿宋_GB2312"/>
          <w:color w:val="auto"/>
          <w:sz w:val="28"/>
          <w:szCs w:val="28"/>
        </w:rPr>
        <w:t>12.</w:t>
      </w:r>
      <w:r>
        <w:rPr>
          <w:rStyle w:val="30"/>
          <w:rFonts w:hint="eastAsia" w:ascii="仿宋_GB2312" w:eastAsia="仿宋_GB2312"/>
          <w:color w:val="auto"/>
          <w:sz w:val="28"/>
          <w:szCs w:val="28"/>
        </w:rPr>
        <w:t>质疑与投诉</w:t>
      </w:r>
      <w:r>
        <w:rPr>
          <w:color w:val="auto"/>
          <w:sz w:val="28"/>
          <w:szCs w:val="28"/>
        </w:rPr>
        <w:tab/>
      </w:r>
      <w:r>
        <w:rPr>
          <w:color w:val="auto"/>
          <w:sz w:val="28"/>
          <w:szCs w:val="28"/>
        </w:rPr>
        <w:fldChar w:fldCharType="begin"/>
      </w:r>
      <w:r>
        <w:rPr>
          <w:color w:val="auto"/>
          <w:sz w:val="28"/>
          <w:szCs w:val="28"/>
        </w:rPr>
        <w:instrText xml:space="preserve"> PAGEREF _Toc73278709 \h </w:instrText>
      </w:r>
      <w:r>
        <w:rPr>
          <w:color w:val="auto"/>
          <w:sz w:val="28"/>
          <w:szCs w:val="28"/>
        </w:rPr>
        <w:fldChar w:fldCharType="separate"/>
      </w:r>
      <w:r>
        <w:rPr>
          <w:color w:val="auto"/>
          <w:sz w:val="28"/>
          <w:szCs w:val="28"/>
        </w:rPr>
        <w:t>42</w:t>
      </w:r>
      <w:r>
        <w:rPr>
          <w:color w:val="auto"/>
          <w:sz w:val="28"/>
          <w:szCs w:val="28"/>
        </w:rPr>
        <w:fldChar w:fldCharType="end"/>
      </w:r>
      <w:r>
        <w:rPr>
          <w:color w:val="auto"/>
          <w:sz w:val="28"/>
          <w:szCs w:val="28"/>
        </w:rPr>
        <w:fldChar w:fldCharType="end"/>
      </w:r>
    </w:p>
    <w:p>
      <w:pPr>
        <w:pStyle w:val="22"/>
        <w:tabs>
          <w:tab w:val="right" w:leader="dot" w:pos="9628"/>
        </w:tabs>
        <w:spacing w:line="5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"_Toc73278712" </w:instrText>
      </w:r>
      <w:r>
        <w:rPr>
          <w:color w:val="auto"/>
        </w:rPr>
        <w:fldChar w:fldCharType="separate"/>
      </w:r>
      <w:r>
        <w:rPr>
          <w:rStyle w:val="30"/>
          <w:rFonts w:ascii="仿宋_GB2312" w:eastAsia="仿宋_GB2312"/>
          <w:color w:val="auto"/>
          <w:sz w:val="28"/>
          <w:szCs w:val="28"/>
        </w:rPr>
        <w:t>13.</w:t>
      </w:r>
      <w:r>
        <w:rPr>
          <w:rStyle w:val="30"/>
          <w:rFonts w:hint="eastAsia" w:ascii="仿宋_GB2312" w:eastAsia="仿宋_GB2312"/>
          <w:color w:val="auto"/>
          <w:sz w:val="28"/>
          <w:szCs w:val="28"/>
        </w:rPr>
        <w:t>其他</w:t>
      </w:r>
      <w:r>
        <w:rPr>
          <w:color w:val="auto"/>
          <w:sz w:val="28"/>
          <w:szCs w:val="28"/>
        </w:rPr>
        <w:tab/>
      </w:r>
      <w:r>
        <w:rPr>
          <w:color w:val="auto"/>
          <w:sz w:val="28"/>
          <w:szCs w:val="28"/>
        </w:rPr>
        <w:fldChar w:fldCharType="begin"/>
      </w:r>
      <w:r>
        <w:rPr>
          <w:color w:val="auto"/>
          <w:sz w:val="28"/>
          <w:szCs w:val="28"/>
        </w:rPr>
        <w:instrText xml:space="preserve"> PAGEREF _Toc73278712 \h </w:instrText>
      </w:r>
      <w:r>
        <w:rPr>
          <w:color w:val="auto"/>
          <w:sz w:val="28"/>
          <w:szCs w:val="28"/>
        </w:rPr>
        <w:fldChar w:fldCharType="separate"/>
      </w:r>
      <w:r>
        <w:rPr>
          <w:color w:val="auto"/>
          <w:sz w:val="28"/>
          <w:szCs w:val="28"/>
        </w:rPr>
        <w:t>45</w:t>
      </w:r>
      <w:r>
        <w:rPr>
          <w:color w:val="auto"/>
          <w:sz w:val="28"/>
          <w:szCs w:val="28"/>
        </w:rPr>
        <w:fldChar w:fldCharType="end"/>
      </w:r>
      <w:r>
        <w:rPr>
          <w:color w:val="auto"/>
          <w:sz w:val="28"/>
          <w:szCs w:val="28"/>
        </w:rPr>
        <w:fldChar w:fldCharType="end"/>
      </w:r>
    </w:p>
    <w:p>
      <w:pPr>
        <w:pStyle w:val="20"/>
        <w:tabs>
          <w:tab w:val="right" w:leader="dot" w:pos="9628"/>
        </w:tabs>
        <w:spacing w:line="5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"_Toc73278717" </w:instrText>
      </w:r>
      <w:r>
        <w:rPr>
          <w:color w:val="auto"/>
        </w:rPr>
        <w:fldChar w:fldCharType="separate"/>
      </w:r>
      <w:r>
        <w:rPr>
          <w:rStyle w:val="30"/>
          <w:rFonts w:hint="eastAsia" w:ascii="黑体" w:hAnsi="黑体" w:eastAsia="黑体" w:cs="仿宋_GB2312"/>
          <w:color w:val="auto"/>
          <w:sz w:val="28"/>
          <w:szCs w:val="28"/>
        </w:rPr>
        <w:t>第三章</w:t>
      </w:r>
      <w:r>
        <w:rPr>
          <w:rStyle w:val="30"/>
          <w:rFonts w:ascii="黑体" w:hAnsi="黑体" w:eastAsia="黑体" w:cs="仿宋_GB2312"/>
          <w:color w:val="auto"/>
          <w:sz w:val="28"/>
          <w:szCs w:val="28"/>
        </w:rPr>
        <w:t xml:space="preserve"> </w:t>
      </w:r>
      <w:r>
        <w:rPr>
          <w:rStyle w:val="30"/>
          <w:rFonts w:hint="eastAsia" w:ascii="黑体" w:hAnsi="黑体" w:eastAsia="黑体" w:cs="仿宋_GB2312"/>
          <w:color w:val="auto"/>
          <w:sz w:val="28"/>
          <w:szCs w:val="28"/>
        </w:rPr>
        <w:t>评标办法</w:t>
      </w:r>
      <w:r>
        <w:rPr>
          <w:color w:val="auto"/>
          <w:sz w:val="28"/>
          <w:szCs w:val="28"/>
        </w:rPr>
        <w:tab/>
      </w:r>
      <w:r>
        <w:rPr>
          <w:color w:val="auto"/>
          <w:sz w:val="28"/>
          <w:szCs w:val="28"/>
        </w:rPr>
        <w:fldChar w:fldCharType="begin"/>
      </w:r>
      <w:r>
        <w:rPr>
          <w:color w:val="auto"/>
          <w:sz w:val="28"/>
          <w:szCs w:val="28"/>
        </w:rPr>
        <w:instrText xml:space="preserve"> PAGEREF _Toc73278717 \h </w:instrText>
      </w:r>
      <w:r>
        <w:rPr>
          <w:color w:val="auto"/>
          <w:sz w:val="28"/>
          <w:szCs w:val="28"/>
        </w:rPr>
        <w:fldChar w:fldCharType="separate"/>
      </w:r>
      <w:r>
        <w:rPr>
          <w:color w:val="auto"/>
          <w:sz w:val="28"/>
          <w:szCs w:val="28"/>
        </w:rPr>
        <w:t>47</w:t>
      </w:r>
      <w:r>
        <w:rPr>
          <w:color w:val="auto"/>
          <w:sz w:val="28"/>
          <w:szCs w:val="28"/>
        </w:rPr>
        <w:fldChar w:fldCharType="end"/>
      </w:r>
      <w:r>
        <w:rPr>
          <w:color w:val="auto"/>
          <w:sz w:val="28"/>
          <w:szCs w:val="28"/>
        </w:rPr>
        <w:fldChar w:fldCharType="end"/>
      </w:r>
    </w:p>
    <w:p>
      <w:pPr>
        <w:pStyle w:val="20"/>
        <w:tabs>
          <w:tab w:val="right" w:leader="dot" w:pos="9628"/>
        </w:tabs>
        <w:spacing w:line="5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"_Toc73278718" </w:instrText>
      </w:r>
      <w:r>
        <w:rPr>
          <w:color w:val="auto"/>
        </w:rPr>
        <w:fldChar w:fldCharType="separate"/>
      </w:r>
      <w:r>
        <w:rPr>
          <w:rStyle w:val="30"/>
          <w:rFonts w:hint="eastAsia" w:ascii="黑体" w:hAnsi="黑体" w:eastAsia="黑体" w:cs="仿宋_GB2312"/>
          <w:color w:val="auto"/>
          <w:sz w:val="28"/>
          <w:szCs w:val="28"/>
        </w:rPr>
        <w:t>第四章</w:t>
      </w:r>
      <w:r>
        <w:rPr>
          <w:rStyle w:val="30"/>
          <w:rFonts w:ascii="黑体" w:hAnsi="黑体" w:eastAsia="黑体" w:cs="仿宋_GB2312"/>
          <w:color w:val="auto"/>
          <w:sz w:val="28"/>
          <w:szCs w:val="28"/>
        </w:rPr>
        <w:t xml:space="preserve"> </w:t>
      </w:r>
      <w:r>
        <w:rPr>
          <w:rStyle w:val="30"/>
          <w:rFonts w:hint="eastAsia" w:ascii="黑体" w:hAnsi="黑体" w:eastAsia="黑体" w:cs="仿宋_GB2312"/>
          <w:color w:val="auto"/>
          <w:sz w:val="28"/>
          <w:szCs w:val="28"/>
        </w:rPr>
        <w:t>采购内容及要求</w:t>
      </w:r>
      <w:r>
        <w:rPr>
          <w:color w:val="auto"/>
          <w:sz w:val="28"/>
          <w:szCs w:val="28"/>
        </w:rPr>
        <w:tab/>
      </w:r>
      <w:bookmarkStart w:id="167" w:name="_GoBack"/>
      <w:bookmarkEnd w:id="167"/>
      <w:r>
        <w:rPr>
          <w:color w:val="auto"/>
          <w:sz w:val="28"/>
          <w:szCs w:val="28"/>
        </w:rPr>
        <w:fldChar w:fldCharType="begin"/>
      </w:r>
      <w:r>
        <w:rPr>
          <w:color w:val="auto"/>
          <w:sz w:val="28"/>
          <w:szCs w:val="28"/>
        </w:rPr>
        <w:instrText xml:space="preserve"> PAGEREF _Toc73278718 \h </w:instrText>
      </w:r>
      <w:r>
        <w:rPr>
          <w:color w:val="auto"/>
          <w:sz w:val="28"/>
          <w:szCs w:val="28"/>
        </w:rPr>
        <w:fldChar w:fldCharType="separate"/>
      </w:r>
      <w:r>
        <w:rPr>
          <w:color w:val="auto"/>
          <w:sz w:val="28"/>
          <w:szCs w:val="28"/>
        </w:rPr>
        <w:t>60</w:t>
      </w:r>
      <w:r>
        <w:rPr>
          <w:color w:val="auto"/>
          <w:sz w:val="28"/>
          <w:szCs w:val="28"/>
        </w:rPr>
        <w:fldChar w:fldCharType="end"/>
      </w:r>
      <w:r>
        <w:rPr>
          <w:color w:val="auto"/>
          <w:sz w:val="28"/>
          <w:szCs w:val="28"/>
        </w:rPr>
        <w:fldChar w:fldCharType="end"/>
      </w:r>
    </w:p>
    <w:p>
      <w:pPr>
        <w:pStyle w:val="20"/>
        <w:tabs>
          <w:tab w:val="right" w:leader="dot" w:pos="9628"/>
        </w:tabs>
        <w:spacing w:line="5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"_Toc73278719" </w:instrText>
      </w:r>
      <w:r>
        <w:rPr>
          <w:color w:val="auto"/>
        </w:rPr>
        <w:fldChar w:fldCharType="separate"/>
      </w:r>
      <w:r>
        <w:rPr>
          <w:rStyle w:val="30"/>
          <w:rFonts w:hint="eastAsia" w:ascii="黑体" w:hAnsi="黑体" w:eastAsia="黑体" w:cs="仿宋_GB2312"/>
          <w:color w:val="auto"/>
          <w:sz w:val="28"/>
          <w:szCs w:val="28"/>
        </w:rPr>
        <w:t>第五章</w:t>
      </w:r>
      <w:r>
        <w:rPr>
          <w:rStyle w:val="30"/>
          <w:rFonts w:ascii="黑体" w:hAnsi="黑体" w:eastAsia="黑体" w:cs="仿宋_GB2312"/>
          <w:color w:val="auto"/>
          <w:sz w:val="28"/>
          <w:szCs w:val="28"/>
        </w:rPr>
        <w:t xml:space="preserve"> </w:t>
      </w:r>
      <w:r>
        <w:rPr>
          <w:rStyle w:val="30"/>
          <w:rFonts w:hint="eastAsia" w:ascii="黑体" w:hAnsi="黑体" w:eastAsia="黑体" w:cs="仿宋_GB2312"/>
          <w:color w:val="auto"/>
          <w:sz w:val="28"/>
          <w:szCs w:val="28"/>
        </w:rPr>
        <w:t>政府采购合同格式</w:t>
      </w:r>
      <w:r>
        <w:rPr>
          <w:color w:val="auto"/>
          <w:sz w:val="28"/>
          <w:szCs w:val="28"/>
        </w:rPr>
        <w:tab/>
      </w:r>
      <w:r>
        <w:rPr>
          <w:color w:val="auto"/>
          <w:sz w:val="28"/>
          <w:szCs w:val="28"/>
        </w:rPr>
        <w:fldChar w:fldCharType="begin"/>
      </w:r>
      <w:r>
        <w:rPr>
          <w:color w:val="auto"/>
          <w:sz w:val="28"/>
          <w:szCs w:val="28"/>
        </w:rPr>
        <w:instrText xml:space="preserve"> PAGEREF _Toc73278719 \h </w:instrText>
      </w:r>
      <w:r>
        <w:rPr>
          <w:color w:val="auto"/>
          <w:sz w:val="28"/>
          <w:szCs w:val="28"/>
        </w:rPr>
        <w:fldChar w:fldCharType="separate"/>
      </w:r>
      <w:r>
        <w:rPr>
          <w:color w:val="auto"/>
          <w:sz w:val="28"/>
          <w:szCs w:val="28"/>
        </w:rPr>
        <w:t>75</w:t>
      </w:r>
      <w:r>
        <w:rPr>
          <w:color w:val="auto"/>
          <w:sz w:val="28"/>
          <w:szCs w:val="28"/>
        </w:rPr>
        <w:fldChar w:fldCharType="end"/>
      </w:r>
      <w:r>
        <w:rPr>
          <w:color w:val="auto"/>
          <w:sz w:val="28"/>
          <w:szCs w:val="28"/>
        </w:rPr>
        <w:fldChar w:fldCharType="end"/>
      </w:r>
    </w:p>
    <w:p>
      <w:pPr>
        <w:pStyle w:val="20"/>
        <w:tabs>
          <w:tab w:val="right" w:leader="dot" w:pos="9628"/>
        </w:tabs>
        <w:spacing w:line="5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"_Toc73278720" </w:instrText>
      </w:r>
      <w:r>
        <w:rPr>
          <w:color w:val="auto"/>
        </w:rPr>
        <w:fldChar w:fldCharType="separate"/>
      </w:r>
      <w:r>
        <w:rPr>
          <w:rStyle w:val="30"/>
          <w:rFonts w:hint="eastAsia" w:ascii="黑体" w:hAnsi="黑体" w:eastAsia="黑体" w:cs="仿宋_GB2312"/>
          <w:color w:val="auto"/>
          <w:sz w:val="28"/>
          <w:szCs w:val="28"/>
        </w:rPr>
        <w:t>第六章</w:t>
      </w:r>
      <w:r>
        <w:rPr>
          <w:rStyle w:val="30"/>
          <w:rFonts w:ascii="黑体" w:hAnsi="黑体" w:eastAsia="黑体" w:cs="仿宋_GB2312"/>
          <w:color w:val="auto"/>
          <w:sz w:val="28"/>
          <w:szCs w:val="28"/>
        </w:rPr>
        <w:t xml:space="preserve"> </w:t>
      </w:r>
      <w:r>
        <w:rPr>
          <w:rStyle w:val="30"/>
          <w:rFonts w:hint="eastAsia" w:ascii="黑体" w:hAnsi="黑体" w:eastAsia="黑体" w:cs="仿宋_GB2312"/>
          <w:color w:val="auto"/>
          <w:sz w:val="28"/>
          <w:szCs w:val="28"/>
        </w:rPr>
        <w:t>投标文件格式</w:t>
      </w:r>
      <w:r>
        <w:rPr>
          <w:color w:val="auto"/>
          <w:sz w:val="28"/>
          <w:szCs w:val="28"/>
        </w:rPr>
        <w:tab/>
      </w:r>
      <w:r>
        <w:rPr>
          <w:color w:val="auto"/>
          <w:sz w:val="28"/>
          <w:szCs w:val="28"/>
        </w:rPr>
        <w:fldChar w:fldCharType="begin"/>
      </w:r>
      <w:r>
        <w:rPr>
          <w:color w:val="auto"/>
          <w:sz w:val="28"/>
          <w:szCs w:val="28"/>
        </w:rPr>
        <w:instrText xml:space="preserve"> PAGEREF _Toc73278720 \h </w:instrText>
      </w:r>
      <w:r>
        <w:rPr>
          <w:color w:val="auto"/>
          <w:sz w:val="28"/>
          <w:szCs w:val="28"/>
        </w:rPr>
        <w:fldChar w:fldCharType="separate"/>
      </w:r>
      <w:r>
        <w:rPr>
          <w:color w:val="auto"/>
          <w:sz w:val="28"/>
          <w:szCs w:val="28"/>
        </w:rPr>
        <w:t>87</w:t>
      </w:r>
      <w:r>
        <w:rPr>
          <w:color w:val="auto"/>
          <w:sz w:val="28"/>
          <w:szCs w:val="28"/>
        </w:rPr>
        <w:fldChar w:fldCharType="end"/>
      </w:r>
      <w:r>
        <w:rPr>
          <w:color w:val="auto"/>
          <w:sz w:val="28"/>
          <w:szCs w:val="28"/>
        </w:rPr>
        <w:fldChar w:fldCharType="end"/>
      </w:r>
    </w:p>
    <w:p>
      <w:pPr>
        <w:pStyle w:val="20"/>
        <w:tabs>
          <w:tab w:val="right" w:leader="dot" w:pos="9628"/>
        </w:tabs>
        <w:spacing w:line="5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"_Toc73278721" </w:instrText>
      </w:r>
      <w:r>
        <w:rPr>
          <w:color w:val="auto"/>
        </w:rPr>
        <w:fldChar w:fldCharType="separate"/>
      </w:r>
      <w:r>
        <w:rPr>
          <w:rStyle w:val="30"/>
          <w:rFonts w:hint="eastAsia" w:ascii="黑体" w:hAnsi="黑体" w:eastAsia="黑体" w:cs="仿宋_GB2312"/>
          <w:color w:val="auto"/>
          <w:sz w:val="28"/>
          <w:szCs w:val="28"/>
        </w:rPr>
        <w:t>第七章</w:t>
      </w:r>
      <w:r>
        <w:rPr>
          <w:rStyle w:val="30"/>
          <w:rFonts w:ascii="黑体" w:hAnsi="黑体" w:eastAsia="黑体" w:cs="仿宋_GB2312"/>
          <w:color w:val="auto"/>
          <w:sz w:val="28"/>
          <w:szCs w:val="28"/>
        </w:rPr>
        <w:t xml:space="preserve"> </w:t>
      </w:r>
      <w:r>
        <w:rPr>
          <w:rStyle w:val="30"/>
          <w:rFonts w:hint="eastAsia" w:ascii="黑体" w:hAnsi="黑体" w:eastAsia="黑体" w:cs="仿宋_GB2312"/>
          <w:color w:val="auto"/>
          <w:sz w:val="28"/>
          <w:szCs w:val="28"/>
        </w:rPr>
        <w:t>附</w:t>
      </w:r>
      <w:r>
        <w:rPr>
          <w:rStyle w:val="30"/>
          <w:rFonts w:ascii="黑体" w:hAnsi="黑体" w:eastAsia="黑体" w:cs="仿宋_GB2312"/>
          <w:color w:val="auto"/>
          <w:sz w:val="28"/>
          <w:szCs w:val="28"/>
        </w:rPr>
        <w:t xml:space="preserve"> </w:t>
      </w:r>
      <w:r>
        <w:rPr>
          <w:rStyle w:val="30"/>
          <w:rFonts w:hint="eastAsia" w:ascii="黑体" w:hAnsi="黑体" w:eastAsia="黑体" w:cs="仿宋_GB2312"/>
          <w:color w:val="auto"/>
          <w:sz w:val="28"/>
          <w:szCs w:val="28"/>
        </w:rPr>
        <w:t>件</w:t>
      </w:r>
      <w:r>
        <w:rPr>
          <w:color w:val="auto"/>
          <w:sz w:val="28"/>
          <w:szCs w:val="28"/>
        </w:rPr>
        <w:tab/>
      </w:r>
      <w:r>
        <w:rPr>
          <w:color w:val="auto"/>
          <w:sz w:val="28"/>
          <w:szCs w:val="28"/>
        </w:rPr>
        <w:fldChar w:fldCharType="begin"/>
      </w:r>
      <w:r>
        <w:rPr>
          <w:color w:val="auto"/>
          <w:sz w:val="28"/>
          <w:szCs w:val="28"/>
        </w:rPr>
        <w:instrText xml:space="preserve"> PAGEREF _Toc73278721 \h </w:instrText>
      </w:r>
      <w:r>
        <w:rPr>
          <w:color w:val="auto"/>
          <w:sz w:val="28"/>
          <w:szCs w:val="28"/>
        </w:rPr>
        <w:fldChar w:fldCharType="separate"/>
      </w:r>
      <w:r>
        <w:rPr>
          <w:color w:val="auto"/>
          <w:sz w:val="28"/>
          <w:szCs w:val="28"/>
        </w:rPr>
        <w:t>122</w:t>
      </w:r>
      <w:r>
        <w:rPr>
          <w:color w:val="auto"/>
          <w:sz w:val="28"/>
          <w:szCs w:val="28"/>
        </w:rPr>
        <w:fldChar w:fldCharType="end"/>
      </w:r>
      <w:r>
        <w:rPr>
          <w:color w:val="auto"/>
          <w:sz w:val="28"/>
          <w:szCs w:val="28"/>
        </w:rPr>
        <w:fldChar w:fldCharType="end"/>
      </w:r>
    </w:p>
    <w:p>
      <w:pPr>
        <w:pStyle w:val="22"/>
        <w:tabs>
          <w:tab w:val="right" w:leader="dot" w:pos="9628"/>
        </w:tabs>
        <w:spacing w:line="5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"_Toc73278722" </w:instrText>
      </w:r>
      <w:r>
        <w:rPr>
          <w:color w:val="auto"/>
        </w:rPr>
        <w:fldChar w:fldCharType="separate"/>
      </w:r>
      <w:r>
        <w:rPr>
          <w:rStyle w:val="30"/>
          <w:rFonts w:hint="eastAsia" w:ascii="仿宋_GB2312" w:eastAsia="仿宋_GB2312"/>
          <w:color w:val="auto"/>
          <w:sz w:val="28"/>
          <w:szCs w:val="28"/>
        </w:rPr>
        <w:t>附件一、</w:t>
      </w:r>
      <w:r>
        <w:rPr>
          <w:rStyle w:val="30"/>
          <w:rFonts w:hint="eastAsia" w:ascii="仿宋_GB2312" w:eastAsia="仿宋_GB2312" w:hAnsiTheme="majorHAnsi"/>
          <w:color w:val="auto"/>
          <w:sz w:val="28"/>
          <w:szCs w:val="28"/>
        </w:rPr>
        <w:t>陕西省中小企业政府采购信用融资办法</w:t>
      </w:r>
      <w:r>
        <w:rPr>
          <w:color w:val="auto"/>
          <w:sz w:val="28"/>
          <w:szCs w:val="28"/>
        </w:rPr>
        <w:tab/>
      </w:r>
      <w:r>
        <w:rPr>
          <w:color w:val="auto"/>
          <w:sz w:val="28"/>
          <w:szCs w:val="28"/>
        </w:rPr>
        <w:fldChar w:fldCharType="begin"/>
      </w:r>
      <w:r>
        <w:rPr>
          <w:color w:val="auto"/>
          <w:sz w:val="28"/>
          <w:szCs w:val="28"/>
        </w:rPr>
        <w:instrText xml:space="preserve"> PAGEREF _Toc73278722 \h </w:instrText>
      </w:r>
      <w:r>
        <w:rPr>
          <w:color w:val="auto"/>
          <w:sz w:val="28"/>
          <w:szCs w:val="28"/>
        </w:rPr>
        <w:fldChar w:fldCharType="separate"/>
      </w:r>
      <w:r>
        <w:rPr>
          <w:color w:val="auto"/>
          <w:sz w:val="28"/>
          <w:szCs w:val="28"/>
        </w:rPr>
        <w:t>122</w:t>
      </w:r>
      <w:r>
        <w:rPr>
          <w:color w:val="auto"/>
          <w:sz w:val="28"/>
          <w:szCs w:val="28"/>
        </w:rPr>
        <w:fldChar w:fldCharType="end"/>
      </w:r>
      <w:r>
        <w:rPr>
          <w:color w:val="auto"/>
          <w:sz w:val="28"/>
          <w:szCs w:val="28"/>
        </w:rPr>
        <w:fldChar w:fldCharType="end"/>
      </w:r>
    </w:p>
    <w:p>
      <w:pPr>
        <w:pStyle w:val="22"/>
        <w:tabs>
          <w:tab w:val="right" w:leader="dot" w:pos="9628"/>
        </w:tabs>
        <w:spacing w:line="5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"_Toc73278723" </w:instrText>
      </w:r>
      <w:r>
        <w:rPr>
          <w:color w:val="auto"/>
        </w:rPr>
        <w:fldChar w:fldCharType="separate"/>
      </w:r>
      <w:r>
        <w:rPr>
          <w:rStyle w:val="30"/>
          <w:rFonts w:hint="eastAsia" w:ascii="仿宋_GB2312" w:eastAsia="仿宋_GB2312"/>
          <w:color w:val="auto"/>
          <w:sz w:val="28"/>
          <w:szCs w:val="28"/>
        </w:rPr>
        <w:t>附件二、关于加快推进我省中小企业政府采购信用融资工作的通知</w:t>
      </w:r>
      <w:r>
        <w:rPr>
          <w:color w:val="auto"/>
          <w:sz w:val="28"/>
          <w:szCs w:val="28"/>
        </w:rPr>
        <w:tab/>
      </w:r>
      <w:r>
        <w:rPr>
          <w:color w:val="auto"/>
          <w:sz w:val="28"/>
          <w:szCs w:val="28"/>
        </w:rPr>
        <w:fldChar w:fldCharType="begin"/>
      </w:r>
      <w:r>
        <w:rPr>
          <w:color w:val="auto"/>
          <w:sz w:val="28"/>
          <w:szCs w:val="28"/>
        </w:rPr>
        <w:instrText xml:space="preserve"> PAGEREF _Toc73278723 \h </w:instrText>
      </w:r>
      <w:r>
        <w:rPr>
          <w:color w:val="auto"/>
          <w:sz w:val="28"/>
          <w:szCs w:val="28"/>
        </w:rPr>
        <w:fldChar w:fldCharType="separate"/>
      </w:r>
      <w:r>
        <w:rPr>
          <w:color w:val="auto"/>
          <w:sz w:val="28"/>
          <w:szCs w:val="28"/>
        </w:rPr>
        <w:t>125</w:t>
      </w:r>
      <w:r>
        <w:rPr>
          <w:color w:val="auto"/>
          <w:sz w:val="28"/>
          <w:szCs w:val="28"/>
        </w:rPr>
        <w:fldChar w:fldCharType="end"/>
      </w:r>
      <w:r>
        <w:rPr>
          <w:color w:val="auto"/>
          <w:sz w:val="28"/>
          <w:szCs w:val="28"/>
        </w:rPr>
        <w:fldChar w:fldCharType="end"/>
      </w:r>
    </w:p>
    <w:p>
      <w:pPr>
        <w:pStyle w:val="22"/>
        <w:tabs>
          <w:tab w:val="right" w:leader="dot" w:pos="9628"/>
        </w:tabs>
        <w:spacing w:line="500" w:lineRule="exact"/>
        <w:rPr>
          <w:rFonts w:asciiTheme="minorHAnsi" w:hAnsiTheme="minorHAnsi" w:eastAsiaTheme="minorEastAsia" w:cstheme="minorBidi"/>
          <w:color w:val="auto"/>
          <w:sz w:val="28"/>
          <w:szCs w:val="28"/>
        </w:rPr>
      </w:pPr>
      <w:r>
        <w:rPr>
          <w:color w:val="auto"/>
        </w:rPr>
        <w:fldChar w:fldCharType="begin"/>
      </w:r>
      <w:r>
        <w:rPr>
          <w:color w:val="auto"/>
        </w:rPr>
        <w:instrText xml:space="preserve"> HYPERLINK \l "_Toc73278724" </w:instrText>
      </w:r>
      <w:r>
        <w:rPr>
          <w:color w:val="auto"/>
        </w:rPr>
        <w:fldChar w:fldCharType="separate"/>
      </w:r>
      <w:r>
        <w:rPr>
          <w:rStyle w:val="30"/>
          <w:rFonts w:hint="eastAsia" w:ascii="仿宋_GB2312" w:eastAsia="仿宋_GB2312"/>
          <w:color w:val="auto"/>
          <w:sz w:val="28"/>
          <w:szCs w:val="28"/>
        </w:rPr>
        <w:t>附件三、政府采购供应商质疑函范本</w:t>
      </w:r>
      <w:r>
        <w:rPr>
          <w:color w:val="auto"/>
          <w:sz w:val="28"/>
          <w:szCs w:val="28"/>
        </w:rPr>
        <w:tab/>
      </w:r>
      <w:r>
        <w:rPr>
          <w:color w:val="auto"/>
          <w:sz w:val="28"/>
          <w:szCs w:val="28"/>
        </w:rPr>
        <w:fldChar w:fldCharType="begin"/>
      </w:r>
      <w:r>
        <w:rPr>
          <w:color w:val="auto"/>
          <w:sz w:val="28"/>
          <w:szCs w:val="28"/>
        </w:rPr>
        <w:instrText xml:space="preserve"> PAGEREF _Toc73278724 \h </w:instrText>
      </w:r>
      <w:r>
        <w:rPr>
          <w:color w:val="auto"/>
          <w:sz w:val="28"/>
          <w:szCs w:val="28"/>
        </w:rPr>
        <w:fldChar w:fldCharType="separate"/>
      </w:r>
      <w:r>
        <w:rPr>
          <w:color w:val="auto"/>
          <w:sz w:val="28"/>
          <w:szCs w:val="28"/>
        </w:rPr>
        <w:t>128</w:t>
      </w:r>
      <w:r>
        <w:rPr>
          <w:color w:val="auto"/>
          <w:sz w:val="28"/>
          <w:szCs w:val="28"/>
        </w:rPr>
        <w:fldChar w:fldCharType="end"/>
      </w:r>
      <w:r>
        <w:rPr>
          <w:color w:val="auto"/>
          <w:sz w:val="28"/>
          <w:szCs w:val="28"/>
        </w:rPr>
        <w:fldChar w:fldCharType="end"/>
      </w:r>
    </w:p>
    <w:p>
      <w:pPr>
        <w:pStyle w:val="22"/>
        <w:tabs>
          <w:tab w:val="right" w:leader="dot" w:pos="9628"/>
        </w:tabs>
        <w:spacing w:line="500" w:lineRule="exact"/>
        <w:rPr>
          <w:color w:val="auto"/>
        </w:rPr>
      </w:pPr>
      <w:r>
        <w:rPr>
          <w:color w:val="auto"/>
        </w:rPr>
        <w:fldChar w:fldCharType="begin"/>
      </w:r>
      <w:r>
        <w:rPr>
          <w:color w:val="auto"/>
        </w:rPr>
        <w:instrText xml:space="preserve"> HYPERLINK \l "_Toc73278725" </w:instrText>
      </w:r>
      <w:r>
        <w:rPr>
          <w:color w:val="auto"/>
        </w:rPr>
        <w:fldChar w:fldCharType="separate"/>
      </w:r>
      <w:r>
        <w:rPr>
          <w:rStyle w:val="30"/>
          <w:rFonts w:hint="eastAsia" w:ascii="仿宋_GB2312" w:eastAsia="仿宋_GB2312"/>
          <w:color w:val="auto"/>
          <w:sz w:val="28"/>
          <w:szCs w:val="28"/>
        </w:rPr>
        <w:t>附件四、政府采购供应商投诉书范本</w:t>
      </w:r>
      <w:r>
        <w:rPr>
          <w:color w:val="auto"/>
          <w:sz w:val="28"/>
          <w:szCs w:val="28"/>
        </w:rPr>
        <w:tab/>
      </w:r>
      <w:r>
        <w:rPr>
          <w:color w:val="auto"/>
          <w:sz w:val="28"/>
          <w:szCs w:val="28"/>
        </w:rPr>
        <w:fldChar w:fldCharType="begin"/>
      </w:r>
      <w:r>
        <w:rPr>
          <w:color w:val="auto"/>
          <w:sz w:val="28"/>
          <w:szCs w:val="28"/>
        </w:rPr>
        <w:instrText xml:space="preserve"> PAGEREF _Toc73278725 \h </w:instrText>
      </w:r>
      <w:r>
        <w:rPr>
          <w:color w:val="auto"/>
          <w:sz w:val="28"/>
          <w:szCs w:val="28"/>
        </w:rPr>
        <w:fldChar w:fldCharType="separate"/>
      </w:r>
      <w:r>
        <w:rPr>
          <w:color w:val="auto"/>
          <w:sz w:val="28"/>
          <w:szCs w:val="28"/>
        </w:rPr>
        <w:t>130</w:t>
      </w:r>
      <w:r>
        <w:rPr>
          <w:color w:val="auto"/>
          <w:sz w:val="28"/>
          <w:szCs w:val="28"/>
        </w:rPr>
        <w:fldChar w:fldCharType="end"/>
      </w:r>
      <w:r>
        <w:rPr>
          <w:color w:val="auto"/>
          <w:sz w:val="28"/>
          <w:szCs w:val="28"/>
        </w:rPr>
        <w:fldChar w:fldCharType="end"/>
      </w:r>
      <w:r>
        <w:rPr>
          <w:color w:val="auto"/>
          <w:sz w:val="28"/>
          <w:szCs w:val="28"/>
        </w:rPr>
        <w:fldChar w:fldCharType="end"/>
      </w:r>
    </w:p>
    <w:p>
      <w:pPr>
        <w:pStyle w:val="3"/>
        <w:adjustRightInd w:val="0"/>
        <w:snapToGrid w:val="0"/>
        <w:spacing w:before="0" w:after="0" w:line="360" w:lineRule="auto"/>
        <w:jc w:val="center"/>
        <w:rPr>
          <w:rFonts w:ascii="黑体" w:hAnsi="黑体" w:eastAsia="黑体" w:cs="仿宋_GB2312"/>
          <w:color w:val="auto"/>
        </w:rPr>
      </w:pPr>
      <w:bookmarkStart w:id="0" w:name="_Toc38178979"/>
      <w:bookmarkStart w:id="1" w:name="_Toc70691278"/>
      <w:bookmarkStart w:id="2" w:name="_Toc73278649"/>
      <w:r>
        <w:rPr>
          <w:rFonts w:hint="eastAsia" w:ascii="黑体" w:hAnsi="黑体" w:eastAsia="黑体" w:cs="仿宋_GB2312"/>
          <w:color w:val="auto"/>
        </w:rPr>
        <w:t xml:space="preserve">第一章 </w:t>
      </w:r>
      <w:bookmarkEnd w:id="0"/>
      <w:bookmarkEnd w:id="1"/>
      <w:r>
        <w:rPr>
          <w:rFonts w:hint="eastAsia" w:ascii="黑体" w:hAnsi="黑体" w:eastAsia="黑体" w:cs="仿宋_GB2312"/>
          <w:color w:val="auto"/>
        </w:rPr>
        <w:t>招标公告</w:t>
      </w:r>
      <w:bookmarkEnd w:id="2"/>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2" w:firstLineChars="200"/>
        <w:jc w:val="left"/>
        <w:textAlignment w:val="auto"/>
        <w:rPr>
          <w:rFonts w:hint="eastAsia" w:ascii="仿宋" w:hAnsi="仿宋" w:eastAsia="仿宋" w:cs="仿宋"/>
          <w:color w:val="auto"/>
          <w:sz w:val="28"/>
          <w:szCs w:val="28"/>
        </w:rPr>
      </w:pPr>
      <w:bookmarkStart w:id="3" w:name="_Toc73278650"/>
      <w:r>
        <w:rPr>
          <w:rFonts w:hint="eastAsia" w:ascii="仿宋" w:hAnsi="仿宋" w:eastAsia="仿宋" w:cs="仿宋"/>
          <w:b/>
          <w:bCs/>
          <w:color w:val="auto"/>
          <w:kern w:val="0"/>
          <w:sz w:val="22"/>
          <w:szCs w:val="22"/>
          <w:lang w:val="en-US" w:eastAsia="zh-CN" w:bidi="ar"/>
        </w:rPr>
        <w:t xml:space="preserve">西安航天城第一小学护眼灯采购及安装项目招标项目潜在的投标人可在西安市雁塔区高新路2号西部国际广场西座2901室获取招标文件，并于2021-07-08 14:30:00前递交投标文件。 </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2" w:firstLineChars="200"/>
        <w:jc w:val="left"/>
        <w:textAlignment w:val="auto"/>
        <w:rPr>
          <w:rFonts w:hint="eastAsia" w:ascii="仿宋" w:hAnsi="仿宋" w:eastAsia="仿宋" w:cs="仿宋"/>
          <w:color w:val="auto"/>
          <w:sz w:val="28"/>
          <w:szCs w:val="28"/>
        </w:rPr>
      </w:pPr>
      <w:r>
        <w:rPr>
          <w:rFonts w:hint="eastAsia" w:ascii="仿宋" w:hAnsi="仿宋" w:eastAsia="仿宋" w:cs="仿宋"/>
          <w:b/>
          <w:bCs/>
          <w:color w:val="auto"/>
          <w:kern w:val="0"/>
          <w:sz w:val="22"/>
          <w:szCs w:val="22"/>
          <w:lang w:val="en-US" w:eastAsia="zh-CN" w:bidi="ar"/>
        </w:rPr>
        <w:t>一、项目基本情况：</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1、项目编号：HXZC01-2021-20007</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2、项目名称：西安航天城第一小学护眼灯采购及安装项目</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3、预算金额：1,422,000.00元</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 xml:space="preserve">4、最高限价： 1,422,000.00元 </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 xml:space="preserve">5、采购需求： 西安航天城第一小学护眼灯采购及安装项目，1项， 采购预算： 1,422,000.00元， 项目概况： 智能LED教室灯及其配套设施、设备等的采购、安装及调试、原灯具拆除及线路改造、恢复原装修效果、现场清理、垃圾外运等，具体内容详见招标文件， 简要技术要求、用途： 教学 </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6、合同履行期限：2021-07-08 00:00:00 至 2021-08-08 00:00:00（具体服务起止日期可随合同签订时间相应顺延）</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7、本项目是否接受联合体投标：否</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2" w:firstLineChars="200"/>
        <w:jc w:val="left"/>
        <w:textAlignment w:val="auto"/>
        <w:rPr>
          <w:rFonts w:hint="eastAsia" w:ascii="仿宋" w:hAnsi="仿宋" w:eastAsia="仿宋" w:cs="仿宋"/>
          <w:color w:val="auto"/>
          <w:sz w:val="28"/>
          <w:szCs w:val="28"/>
        </w:rPr>
      </w:pPr>
      <w:r>
        <w:rPr>
          <w:rFonts w:hint="eastAsia" w:ascii="仿宋" w:hAnsi="仿宋" w:eastAsia="仿宋" w:cs="仿宋"/>
          <w:b/>
          <w:bCs/>
          <w:color w:val="auto"/>
          <w:kern w:val="0"/>
          <w:sz w:val="22"/>
          <w:szCs w:val="22"/>
          <w:lang w:val="en-US" w:eastAsia="zh-CN" w:bidi="ar"/>
        </w:rPr>
        <w:t xml:space="preserve">二、 投标人的资格要求 </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1、满足《中华人民共和国政府采购法》第二十二条规定</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2、落实政府采购政策需满足的资格要求：本项目执行强制、优先采购节能产品，优先采购环境标志产品，扶持福利企业，支持中小微企业，支持监狱和戒毒企业、残疾人企业、扶持不发达地区和少数民族地区等相关政策。2-1财政部、国家发展改革委《关于印发〈节能产品政府采购实施意见〉的通知》（财库〔2004〕185号）；2-2国务院办公厅《关于建立政府强制采购节能产品制度的通知》（国办发〔2007〕51号）；2-3财政部、国家环保总局联合印发《关于环境标志产品政府采购实施的意见》（财库〔2006〕90号）；2-4《关于调整优化节能产品、环境标志产品政府采购执行机制的通知》（财库〔2019〕9号）；2-5财政部、工业和信息化部《关于印发&lt;政府采购促进中小企业发展管理办法&gt;的通知》(财库〔2020〕46号)；2-6《关于政府采购支持监狱企业发展有关问题的通知》（财库〔2014〕68号）；2-7《关于促进残疾人就业政府采购政策的通知》（财库〔2017〕141号）；2-8《财政部国务院扶贫办关于运用政府采购政策支持脱贫攻坚的通知》（财库〔2019〕27号）；2-9《关于在政府采购活动中查询及使用信用记录有关问题的通知》（财库〔2016〕125号）；2-10陕西省财政厅关于印发《陕西省中小企业政府采购信用融资办法》（陕财办采〔2018〕23号）。</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3、本项目的特定资格要求：（1）法定代表人直接参加投标的，须提供法定代表人身份证明(提供法定代表人有效身份证原件备查）；法定代表人授权代表参加投标的，须提供法定代表人授权委托书(提供委托代理人有效身份证原件备查）；（2）符合《财政部关于在政府采购活动中查询及使用信用记录有关问题的通知》（财库【2016】125号）文件中信用查询的要求；（3）单位负责人为同一人或者存在控股、管理关系的不同供应商，不得同时参加本项目采购活动；（4）为本项目提供过整体设计、规范编制或者项目管理、监理、检测等服务的供应商，不得再参加本项目采购活动。</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2" w:firstLineChars="200"/>
        <w:jc w:val="left"/>
        <w:textAlignment w:val="auto"/>
        <w:rPr>
          <w:rFonts w:hint="eastAsia" w:ascii="仿宋" w:hAnsi="仿宋" w:eastAsia="仿宋" w:cs="仿宋"/>
          <w:color w:val="auto"/>
          <w:sz w:val="28"/>
          <w:szCs w:val="28"/>
        </w:rPr>
      </w:pPr>
      <w:r>
        <w:rPr>
          <w:rFonts w:hint="eastAsia" w:ascii="仿宋" w:hAnsi="仿宋" w:eastAsia="仿宋" w:cs="仿宋"/>
          <w:b/>
          <w:bCs/>
          <w:color w:val="auto"/>
          <w:kern w:val="0"/>
          <w:sz w:val="22"/>
          <w:szCs w:val="22"/>
          <w:lang w:val="en-US" w:eastAsia="zh-CN" w:bidi="ar"/>
        </w:rPr>
        <w:t xml:space="preserve">三、 招标文件的获取方式 </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时间：即日起至2021-06-22 17:00:00 止</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地点：西安市雁塔区高新路2号西部国际广场西座2901室</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方式：现场购买/邮寄</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 xml:space="preserve">售价：免费赠送 </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2" w:firstLineChars="200"/>
        <w:textAlignment w:val="auto"/>
        <w:rPr>
          <w:rFonts w:hint="eastAsia" w:ascii="仿宋" w:hAnsi="仿宋" w:eastAsia="仿宋" w:cs="仿宋"/>
          <w:color w:val="auto"/>
          <w:sz w:val="28"/>
          <w:szCs w:val="28"/>
        </w:rPr>
      </w:pPr>
      <w:r>
        <w:rPr>
          <w:rStyle w:val="26"/>
          <w:rFonts w:hint="eastAsia" w:ascii="仿宋" w:hAnsi="仿宋" w:eastAsia="仿宋" w:cs="仿宋"/>
          <w:b/>
          <w:bCs/>
          <w:color w:val="auto"/>
          <w:sz w:val="22"/>
          <w:szCs w:val="22"/>
        </w:rPr>
        <w:t>注：1、招标文件获取时间：在本招标公告规定时间内工作日每日上午9：00至11:30，下午14:00至17:00（北京时间，法定节假日除外）；2、本项目招标文件以电子版形式赠送，请潜在投标人提供准确的电子邮箱或以现场拷贝方式获取招标文件。</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2" w:firstLineChars="200"/>
        <w:jc w:val="left"/>
        <w:textAlignment w:val="auto"/>
        <w:rPr>
          <w:rFonts w:hint="eastAsia" w:ascii="仿宋" w:hAnsi="仿宋" w:eastAsia="仿宋" w:cs="仿宋"/>
          <w:color w:val="auto"/>
          <w:sz w:val="28"/>
          <w:szCs w:val="28"/>
        </w:rPr>
      </w:pPr>
      <w:r>
        <w:rPr>
          <w:rFonts w:hint="eastAsia" w:ascii="仿宋" w:hAnsi="仿宋" w:eastAsia="仿宋" w:cs="仿宋"/>
          <w:b/>
          <w:bCs/>
          <w:color w:val="auto"/>
          <w:kern w:val="0"/>
          <w:sz w:val="22"/>
          <w:szCs w:val="22"/>
          <w:lang w:val="en-US" w:eastAsia="zh-CN" w:bidi="ar"/>
        </w:rPr>
        <w:t xml:space="preserve">四、 投标文件递交 </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 xml:space="preserve">截止时间： 2021-07-08 14:30:00 </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 xml:space="preserve">地点：西安市雁塔区高新路2号西部国际广场西座2901会议室 </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2" w:firstLineChars="200"/>
        <w:jc w:val="left"/>
        <w:textAlignment w:val="auto"/>
        <w:rPr>
          <w:rFonts w:hint="eastAsia" w:ascii="仿宋" w:hAnsi="仿宋" w:eastAsia="仿宋" w:cs="仿宋"/>
          <w:color w:val="auto"/>
          <w:sz w:val="28"/>
          <w:szCs w:val="28"/>
        </w:rPr>
      </w:pPr>
      <w:r>
        <w:rPr>
          <w:rFonts w:hint="eastAsia" w:ascii="仿宋" w:hAnsi="仿宋" w:eastAsia="仿宋" w:cs="仿宋"/>
          <w:b/>
          <w:bCs/>
          <w:color w:val="auto"/>
          <w:kern w:val="0"/>
          <w:sz w:val="22"/>
          <w:szCs w:val="22"/>
          <w:lang w:val="en-US" w:eastAsia="zh-CN" w:bidi="ar"/>
        </w:rPr>
        <w:t>五、公告期限</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自本公告发布之日起5个工作日。</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2" w:firstLineChars="200"/>
        <w:jc w:val="left"/>
        <w:textAlignment w:val="auto"/>
        <w:rPr>
          <w:rFonts w:hint="eastAsia" w:ascii="仿宋" w:hAnsi="仿宋" w:eastAsia="仿宋" w:cs="仿宋"/>
          <w:color w:val="auto"/>
          <w:sz w:val="28"/>
          <w:szCs w:val="28"/>
        </w:rPr>
      </w:pPr>
      <w:r>
        <w:rPr>
          <w:rFonts w:hint="eastAsia" w:ascii="仿宋" w:hAnsi="仿宋" w:eastAsia="仿宋" w:cs="仿宋"/>
          <w:b/>
          <w:bCs/>
          <w:color w:val="auto"/>
          <w:kern w:val="0"/>
          <w:sz w:val="22"/>
          <w:szCs w:val="22"/>
          <w:lang w:val="en-US" w:eastAsia="zh-CN" w:bidi="ar"/>
        </w:rPr>
        <w:t>六、其他补充事宜</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1、本项目非专门面向中小企业采购；2、开标时间：2021-07 -08 14:30:00；3、开标地点：西安市雁塔区高新路2号西部国际广场西座2901会议室。</w:t>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2" w:firstLineChars="200"/>
        <w:jc w:val="left"/>
        <w:textAlignment w:val="auto"/>
        <w:rPr>
          <w:rFonts w:hint="eastAsia" w:ascii="仿宋" w:hAnsi="仿宋" w:eastAsia="仿宋" w:cs="仿宋"/>
          <w:color w:val="auto"/>
          <w:sz w:val="28"/>
          <w:szCs w:val="28"/>
        </w:rPr>
      </w:pPr>
      <w:r>
        <w:rPr>
          <w:rFonts w:hint="eastAsia" w:ascii="仿宋" w:hAnsi="仿宋" w:eastAsia="仿宋" w:cs="仿宋"/>
          <w:b/>
          <w:bCs/>
          <w:color w:val="auto"/>
          <w:kern w:val="0"/>
          <w:sz w:val="22"/>
          <w:szCs w:val="22"/>
          <w:lang w:val="en-US" w:eastAsia="zh-CN" w:bidi="ar"/>
        </w:rPr>
        <w:t xml:space="preserve">七、对本次招标提出询问，请按以下方式联系。 </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1、采购人信息：西安航天城第一小学</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地址：西安市长安区航天基地航拓路与神舟六路十字西北角</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联系人：西安航天城第一小学经办</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电话：89696001-777</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2、项目联系方式</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项目联系人：王工</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电 话：13403811638</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传 真：/</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3、采购代理机构信息</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名称：陕西华兴工程咨询有限公司</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联系地址：西安市雁塔区高新路2号西部国际广场西座2901室</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联系方式：</w:t>
      </w:r>
      <w:r>
        <w:rPr>
          <w:rFonts w:hint="eastAsia" w:ascii="仿宋" w:hAnsi="仿宋" w:eastAsia="仿宋" w:cs="仿宋"/>
          <w:color w:val="auto"/>
          <w:sz w:val="22"/>
          <w:szCs w:val="22"/>
          <w:u w:val="none"/>
        </w:rPr>
        <w:fldChar w:fldCharType="begin"/>
      </w:r>
      <w:r>
        <w:rPr>
          <w:rFonts w:hint="eastAsia" w:ascii="仿宋" w:hAnsi="仿宋" w:eastAsia="仿宋" w:cs="仿宋"/>
          <w:color w:val="auto"/>
          <w:sz w:val="22"/>
          <w:szCs w:val="22"/>
          <w:u w:val="none"/>
        </w:rPr>
        <w:instrText xml:space="preserve"> HYPERLINK "http://www.ccgp.gov.cn/agency/a_agencylist.html" \t "http://www.ccgp-shaanxi.gov.cn/notice/_blank" </w:instrText>
      </w:r>
      <w:r>
        <w:rPr>
          <w:rFonts w:hint="eastAsia" w:ascii="仿宋" w:hAnsi="仿宋" w:eastAsia="仿宋" w:cs="仿宋"/>
          <w:color w:val="auto"/>
          <w:sz w:val="22"/>
          <w:szCs w:val="22"/>
          <w:u w:val="none"/>
        </w:rPr>
        <w:fldChar w:fldCharType="separate"/>
      </w:r>
      <w:r>
        <w:rPr>
          <w:rStyle w:val="30"/>
          <w:rFonts w:hint="eastAsia" w:ascii="仿宋" w:hAnsi="仿宋" w:eastAsia="仿宋" w:cs="仿宋"/>
          <w:color w:val="auto"/>
          <w:sz w:val="22"/>
          <w:szCs w:val="22"/>
          <w:u w:val="none"/>
        </w:rPr>
        <w:t>http://www.ccgp.gov.cn/agency/a_agencylist.html</w:t>
      </w:r>
      <w:r>
        <w:rPr>
          <w:rFonts w:hint="eastAsia" w:ascii="仿宋" w:hAnsi="仿宋" w:eastAsia="仿宋" w:cs="仿宋"/>
          <w:color w:val="auto"/>
          <w:sz w:val="22"/>
          <w:szCs w:val="22"/>
          <w:u w:val="none"/>
        </w:rPr>
        <w:fldChar w:fldCharType="end"/>
      </w:r>
    </w:p>
    <w:p>
      <w:pPr>
        <w:pStyle w:val="2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42" w:firstLineChars="200"/>
        <w:jc w:val="left"/>
        <w:textAlignment w:val="auto"/>
        <w:rPr>
          <w:rFonts w:hint="eastAsia" w:ascii="仿宋" w:hAnsi="仿宋" w:eastAsia="仿宋" w:cs="仿宋"/>
          <w:color w:val="auto"/>
          <w:sz w:val="28"/>
          <w:szCs w:val="28"/>
        </w:rPr>
      </w:pPr>
      <w:r>
        <w:rPr>
          <w:rFonts w:hint="eastAsia" w:ascii="仿宋" w:hAnsi="仿宋" w:eastAsia="仿宋" w:cs="仿宋"/>
          <w:b/>
          <w:bCs/>
          <w:color w:val="auto"/>
          <w:kern w:val="0"/>
          <w:sz w:val="22"/>
          <w:szCs w:val="22"/>
          <w:lang w:val="en-US" w:eastAsia="zh-CN" w:bidi="ar"/>
        </w:rPr>
        <w:t>八、附件：</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jc w:val="right"/>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陕西华兴工程咨询有限公司</w:t>
      </w:r>
    </w:p>
    <w:p>
      <w:pPr>
        <w:pStyle w:val="2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40" w:firstLineChars="200"/>
        <w:jc w:val="right"/>
        <w:textAlignment w:val="auto"/>
        <w:rPr>
          <w:rFonts w:hint="eastAsia" w:ascii="仿宋" w:hAnsi="仿宋" w:eastAsia="仿宋" w:cs="仿宋"/>
          <w:color w:val="auto"/>
          <w:sz w:val="28"/>
          <w:szCs w:val="28"/>
        </w:rPr>
      </w:pPr>
      <w:r>
        <w:rPr>
          <w:rFonts w:hint="eastAsia" w:ascii="仿宋" w:hAnsi="仿宋" w:eastAsia="仿宋" w:cs="仿宋"/>
          <w:color w:val="auto"/>
          <w:sz w:val="22"/>
          <w:szCs w:val="22"/>
        </w:rPr>
        <w:t>2021年06月15日</w:t>
      </w:r>
    </w:p>
    <w:p>
      <w:pPr>
        <w:rPr>
          <w:rFonts w:hint="eastAsia" w:ascii="黑体" w:hAnsi="黑体" w:eastAsia="黑体" w:cs="仿宋_GB2312"/>
          <w:color w:val="auto"/>
        </w:rPr>
      </w:pPr>
      <w:r>
        <w:rPr>
          <w:rFonts w:hint="eastAsia" w:ascii="黑体" w:hAnsi="黑体" w:eastAsia="黑体" w:cs="仿宋_GB2312"/>
          <w:color w:val="auto"/>
        </w:rPr>
        <w:br w:type="page"/>
      </w:r>
    </w:p>
    <w:p>
      <w:pPr>
        <w:pStyle w:val="3"/>
        <w:adjustRightInd w:val="0"/>
        <w:snapToGrid w:val="0"/>
        <w:spacing w:before="0" w:after="0" w:line="360" w:lineRule="auto"/>
        <w:jc w:val="center"/>
        <w:rPr>
          <w:rFonts w:ascii="黑体" w:hAnsi="黑体" w:eastAsia="黑体" w:cs="仿宋_GB2312"/>
          <w:color w:val="auto"/>
        </w:rPr>
      </w:pPr>
      <w:r>
        <w:rPr>
          <w:rFonts w:hint="eastAsia" w:ascii="黑体" w:hAnsi="黑体" w:eastAsia="黑体" w:cs="仿宋_GB2312"/>
          <w:color w:val="auto"/>
        </w:rPr>
        <w:t>第二章 投标人须知</w:t>
      </w:r>
      <w:bookmarkEnd w:id="3"/>
    </w:p>
    <w:p>
      <w:pPr>
        <w:pStyle w:val="4"/>
        <w:adjustRightInd w:val="0"/>
        <w:snapToGrid w:val="0"/>
        <w:spacing w:before="0" w:after="0" w:line="360" w:lineRule="auto"/>
        <w:jc w:val="left"/>
        <w:rPr>
          <w:rFonts w:ascii="仿宋" w:hAnsi="仿宋" w:eastAsia="仿宋" w:cs="仿宋_GB2312"/>
          <w:color w:val="auto"/>
        </w:rPr>
      </w:pPr>
      <w:bookmarkStart w:id="4" w:name="_Toc73278651"/>
      <w:r>
        <w:rPr>
          <w:rFonts w:hint="eastAsia" w:ascii="仿宋" w:hAnsi="仿宋" w:eastAsia="仿宋" w:cs="仿宋_GB2312"/>
          <w:color w:val="auto"/>
        </w:rPr>
        <w:t>投标人须知前附表</w:t>
      </w:r>
      <w:bookmarkEnd w:id="4"/>
    </w:p>
    <w:tbl>
      <w:tblPr>
        <w:tblStyle w:val="24"/>
        <w:tblW w:w="9978"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11"/>
        <w:gridCol w:w="2363"/>
        <w:gridCol w:w="680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6" w:hRule="exact"/>
          <w:tblHeader/>
          <w:jc w:val="center"/>
        </w:trPr>
        <w:tc>
          <w:tcPr>
            <w:tcW w:w="811" w:type="dxa"/>
            <w:tcBorders>
              <w:top w:val="single" w:color="auto" w:sz="18" w:space="0"/>
              <w:left w:val="single" w:color="auto" w:sz="18" w:space="0"/>
              <w:bottom w:val="single" w:color="auto" w:sz="8" w:space="0"/>
              <w:right w:val="single" w:color="auto" w:sz="8" w:space="0"/>
            </w:tcBorders>
            <w:vAlign w:val="center"/>
          </w:tcPr>
          <w:p>
            <w:pPr>
              <w:pStyle w:val="56"/>
              <w:spacing w:line="440" w:lineRule="exact"/>
              <w:ind w:left="9"/>
              <w:jc w:val="center"/>
              <w:rPr>
                <w:rFonts w:ascii="仿宋_GB2312" w:eastAsia="仿宋_GB2312"/>
                <w:b/>
                <w:color w:val="auto"/>
                <w:lang w:val="zh-CN"/>
              </w:rPr>
            </w:pPr>
            <w:r>
              <w:rPr>
                <w:rFonts w:hint="eastAsia" w:ascii="仿宋_GB2312" w:eastAsia="仿宋_GB2312"/>
                <w:b/>
                <w:color w:val="auto"/>
                <w:lang w:val="zh-CN"/>
              </w:rPr>
              <w:t xml:space="preserve">序号 </w:t>
            </w:r>
          </w:p>
        </w:tc>
        <w:tc>
          <w:tcPr>
            <w:tcW w:w="2363" w:type="dxa"/>
            <w:tcBorders>
              <w:top w:val="single" w:color="auto" w:sz="18" w:space="0"/>
              <w:left w:val="single" w:color="auto" w:sz="8" w:space="0"/>
              <w:bottom w:val="single" w:color="auto" w:sz="8" w:space="0"/>
              <w:right w:val="single" w:color="auto" w:sz="8" w:space="0"/>
            </w:tcBorders>
            <w:vAlign w:val="center"/>
          </w:tcPr>
          <w:p>
            <w:pPr>
              <w:pStyle w:val="56"/>
              <w:spacing w:line="440" w:lineRule="exact"/>
              <w:ind w:left="38"/>
              <w:jc w:val="center"/>
              <w:rPr>
                <w:rFonts w:ascii="仿宋_GB2312" w:eastAsia="仿宋_GB2312"/>
                <w:b/>
                <w:color w:val="auto"/>
                <w:lang w:val="zh-CN"/>
              </w:rPr>
            </w:pPr>
            <w:r>
              <w:rPr>
                <w:rFonts w:hint="eastAsia" w:ascii="仿宋_GB2312" w:eastAsia="仿宋_GB2312"/>
                <w:b/>
                <w:color w:val="auto"/>
                <w:lang w:val="zh-CN"/>
              </w:rPr>
              <w:t>内容</w:t>
            </w:r>
          </w:p>
        </w:tc>
        <w:tc>
          <w:tcPr>
            <w:tcW w:w="6804" w:type="dxa"/>
            <w:tcBorders>
              <w:top w:val="single" w:color="auto" w:sz="18" w:space="0"/>
              <w:left w:val="single" w:color="auto" w:sz="8" w:space="0"/>
              <w:bottom w:val="single" w:color="auto" w:sz="8" w:space="0"/>
              <w:right w:val="single" w:color="auto" w:sz="18" w:space="0"/>
            </w:tcBorders>
            <w:vAlign w:val="center"/>
          </w:tcPr>
          <w:p>
            <w:pPr>
              <w:pStyle w:val="56"/>
              <w:spacing w:line="440" w:lineRule="exact"/>
              <w:jc w:val="center"/>
              <w:rPr>
                <w:rFonts w:ascii="仿宋_GB2312" w:eastAsia="仿宋_GB2312"/>
                <w:b/>
                <w:color w:val="auto"/>
                <w:lang w:val="zh-CN"/>
              </w:rPr>
            </w:pPr>
            <w:r>
              <w:rPr>
                <w:rFonts w:hint="eastAsia" w:ascii="仿宋_GB2312" w:eastAsia="仿宋_GB2312"/>
                <w:b/>
                <w:color w:val="auto"/>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6"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1</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采购人</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firstLine="240" w:firstLineChars="100"/>
              <w:rPr>
                <w:rFonts w:ascii="仿宋_GB2312" w:eastAsia="仿宋_GB2312"/>
                <w:color w:val="auto"/>
              </w:rPr>
            </w:pPr>
            <w:r>
              <w:rPr>
                <w:rFonts w:hint="eastAsia" w:ascii="仿宋_GB2312" w:eastAsia="仿宋_GB2312"/>
                <w:color w:val="auto"/>
                <w:lang w:val="zh-CN"/>
              </w:rPr>
              <w:t>名  称:</w:t>
            </w:r>
            <w:r>
              <w:rPr>
                <w:rFonts w:hint="eastAsia"/>
                <w:color w:val="auto"/>
              </w:rPr>
              <w:t xml:space="preserve"> </w:t>
            </w:r>
            <w:r>
              <w:rPr>
                <w:rFonts w:hint="eastAsia" w:ascii="仿宋_GB2312" w:eastAsia="仿宋_GB2312"/>
                <w:color w:val="auto"/>
                <w:lang w:val="zh-CN"/>
              </w:rPr>
              <w:t>西安航天城第一小学</w:t>
            </w:r>
          </w:p>
          <w:p>
            <w:pPr>
              <w:pStyle w:val="56"/>
              <w:spacing w:line="440" w:lineRule="exact"/>
              <w:ind w:firstLine="240" w:firstLineChars="100"/>
              <w:rPr>
                <w:rFonts w:ascii="仿宋_GB2312" w:eastAsia="仿宋_GB2312"/>
                <w:color w:val="auto"/>
                <w:lang w:val="zh-CN"/>
              </w:rPr>
            </w:pPr>
            <w:r>
              <w:rPr>
                <w:rFonts w:hint="eastAsia" w:ascii="仿宋_GB2312" w:eastAsia="仿宋_GB2312"/>
                <w:color w:val="auto"/>
                <w:lang w:val="zh-CN"/>
              </w:rPr>
              <w:t>地  址:西安市长安区航天基地航拓路与神舟六路十字西北角</w:t>
            </w:r>
          </w:p>
          <w:p>
            <w:pPr>
              <w:pStyle w:val="56"/>
              <w:spacing w:line="440" w:lineRule="exact"/>
              <w:ind w:firstLine="240" w:firstLineChars="100"/>
              <w:rPr>
                <w:rFonts w:ascii="仿宋_GB2312" w:eastAsia="仿宋_GB2312"/>
                <w:color w:val="auto"/>
                <w:lang w:val="zh-CN"/>
              </w:rPr>
            </w:pPr>
            <w:r>
              <w:rPr>
                <w:rFonts w:hint="eastAsia" w:ascii="仿宋_GB2312" w:eastAsia="仿宋_GB2312"/>
                <w:color w:val="auto"/>
                <w:lang w:val="zh-CN"/>
              </w:rPr>
              <w:t>电  话:89696001-777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27"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2</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ind w:left="38"/>
              <w:jc w:val="center"/>
              <w:rPr>
                <w:rFonts w:ascii="仿宋_GB2312" w:eastAsia="仿宋_GB2312"/>
                <w:color w:val="auto"/>
                <w:lang w:val="zh-CN"/>
              </w:rPr>
            </w:pPr>
            <w:r>
              <w:rPr>
                <w:rFonts w:hint="eastAsia" w:ascii="仿宋_GB2312" w:eastAsia="仿宋_GB2312"/>
                <w:color w:val="auto"/>
                <w:lang w:val="zh-CN"/>
              </w:rPr>
              <w:t>采购代理机构</w:t>
            </w:r>
          </w:p>
        </w:tc>
        <w:tc>
          <w:tcPr>
            <w:tcW w:w="6804" w:type="dxa"/>
            <w:tcBorders>
              <w:top w:val="single" w:color="auto" w:sz="8" w:space="0"/>
              <w:left w:val="single" w:color="auto" w:sz="8" w:space="0"/>
              <w:bottom w:val="single" w:color="auto" w:sz="8" w:space="0"/>
              <w:right w:val="single" w:color="auto" w:sz="18" w:space="0"/>
            </w:tcBorders>
            <w:vAlign w:val="center"/>
          </w:tcPr>
          <w:p>
            <w:pPr>
              <w:widowControl/>
              <w:spacing w:line="440" w:lineRule="exact"/>
              <w:ind w:firstLine="240" w:firstLineChars="100"/>
              <w:jc w:val="left"/>
              <w:rPr>
                <w:rFonts w:ascii="仿宋" w:hAnsi="仿宋" w:eastAsia="仿宋" w:cs="仿宋_GB2312"/>
                <w:color w:val="auto"/>
                <w:kern w:val="0"/>
                <w:sz w:val="24"/>
              </w:rPr>
            </w:pPr>
            <w:r>
              <w:rPr>
                <w:rFonts w:hint="eastAsia" w:ascii="仿宋" w:hAnsi="仿宋" w:eastAsia="仿宋" w:cs="仿宋_GB2312"/>
                <w:color w:val="auto"/>
                <w:kern w:val="0"/>
                <w:sz w:val="24"/>
              </w:rPr>
              <w:t>名  称:陕西华兴工程咨询有限公司</w:t>
            </w:r>
            <w:r>
              <w:rPr>
                <w:rFonts w:ascii="仿宋" w:hAnsi="仿宋" w:eastAsia="仿宋" w:cs="仿宋_GB2312"/>
                <w:color w:val="auto"/>
                <w:kern w:val="0"/>
                <w:sz w:val="24"/>
              </w:rPr>
              <w:t xml:space="preserve"> </w:t>
            </w:r>
          </w:p>
          <w:p>
            <w:pPr>
              <w:widowControl/>
              <w:spacing w:line="440" w:lineRule="exact"/>
              <w:ind w:firstLine="240" w:firstLineChars="100"/>
              <w:jc w:val="left"/>
              <w:rPr>
                <w:rFonts w:ascii="仿宋" w:hAnsi="仿宋" w:eastAsia="仿宋" w:cs="仿宋_GB2312"/>
                <w:color w:val="auto"/>
                <w:kern w:val="0"/>
                <w:sz w:val="24"/>
              </w:rPr>
            </w:pPr>
            <w:r>
              <w:rPr>
                <w:rFonts w:hint="eastAsia" w:ascii="仿宋" w:hAnsi="仿宋" w:eastAsia="仿宋" w:cs="仿宋_GB2312"/>
                <w:color w:val="auto"/>
                <w:kern w:val="0"/>
                <w:sz w:val="24"/>
              </w:rPr>
              <w:t>地  址：西安市雁塔区高新路2号西部国际广场西座2901室</w:t>
            </w:r>
          </w:p>
          <w:p>
            <w:pPr>
              <w:pStyle w:val="56"/>
              <w:spacing w:line="440" w:lineRule="exact"/>
              <w:ind w:firstLine="240" w:firstLineChars="100"/>
              <w:rPr>
                <w:rFonts w:ascii="仿宋_GB2312" w:eastAsia="仿宋_GB2312"/>
                <w:color w:val="auto"/>
                <w:lang w:val="zh-CN"/>
              </w:rPr>
            </w:pPr>
            <w:r>
              <w:rPr>
                <w:rFonts w:hint="eastAsia" w:ascii="仿宋" w:hAnsi="仿宋" w:eastAsia="仿宋" w:cs="仿宋_GB2312"/>
                <w:color w:val="auto"/>
              </w:rPr>
              <w:t>联系方式：王女士  13403811638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4"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3</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ind w:left="38"/>
              <w:jc w:val="center"/>
              <w:rPr>
                <w:rFonts w:ascii="仿宋_GB2312" w:eastAsia="仿宋_GB2312"/>
                <w:color w:val="auto"/>
                <w:lang w:val="zh-CN"/>
              </w:rPr>
            </w:pPr>
            <w:r>
              <w:rPr>
                <w:rFonts w:hint="eastAsia" w:ascii="仿宋_GB2312" w:eastAsia="仿宋_GB2312"/>
                <w:color w:val="auto"/>
                <w:lang w:val="zh-CN"/>
              </w:rPr>
              <w:t>采购项目名称</w:t>
            </w:r>
          </w:p>
        </w:tc>
        <w:tc>
          <w:tcPr>
            <w:tcW w:w="6804" w:type="dxa"/>
            <w:tcBorders>
              <w:top w:val="single" w:color="auto" w:sz="8" w:space="0"/>
              <w:left w:val="single" w:color="auto" w:sz="8" w:space="0"/>
              <w:bottom w:val="single" w:color="auto" w:sz="8" w:space="0"/>
              <w:right w:val="single" w:color="auto" w:sz="18" w:space="0"/>
            </w:tcBorders>
            <w:vAlign w:val="center"/>
          </w:tcPr>
          <w:p>
            <w:pPr>
              <w:spacing w:line="440" w:lineRule="exact"/>
              <w:ind w:firstLine="240" w:firstLineChars="100"/>
              <w:rPr>
                <w:rFonts w:ascii="仿宋_GB2312" w:hAnsi="宋体" w:eastAsia="仿宋_GB2312"/>
                <w:color w:val="auto"/>
                <w:sz w:val="24"/>
              </w:rPr>
            </w:pPr>
            <w:r>
              <w:rPr>
                <w:rFonts w:hint="eastAsia" w:ascii="仿宋_GB2312" w:hAnsi="宋体" w:eastAsia="仿宋_GB2312"/>
                <w:color w:val="auto"/>
                <w:sz w:val="24"/>
              </w:rPr>
              <w:t>西安航天城第一小学护眼灯采购及安装项目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9"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4</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ind w:left="38"/>
              <w:jc w:val="center"/>
              <w:rPr>
                <w:rFonts w:ascii="仿宋_GB2312" w:eastAsia="仿宋_GB2312"/>
                <w:color w:val="auto"/>
                <w:lang w:val="zh-CN"/>
              </w:rPr>
            </w:pPr>
            <w:r>
              <w:rPr>
                <w:rFonts w:hint="eastAsia" w:ascii="仿宋_GB2312" w:eastAsia="仿宋_GB2312"/>
                <w:color w:val="auto"/>
                <w:lang w:val="zh-CN"/>
              </w:rPr>
              <w:t>采购项目编号</w:t>
            </w:r>
          </w:p>
        </w:tc>
        <w:tc>
          <w:tcPr>
            <w:tcW w:w="6804" w:type="dxa"/>
            <w:tcBorders>
              <w:top w:val="single" w:color="auto" w:sz="8" w:space="0"/>
              <w:left w:val="single" w:color="auto" w:sz="8" w:space="0"/>
              <w:bottom w:val="single" w:color="auto" w:sz="8" w:space="0"/>
              <w:right w:val="single" w:color="auto" w:sz="18" w:space="0"/>
            </w:tcBorders>
            <w:vAlign w:val="center"/>
          </w:tcPr>
          <w:p>
            <w:pPr>
              <w:spacing w:line="440" w:lineRule="exact"/>
              <w:ind w:firstLine="120" w:firstLineChars="50"/>
              <w:rPr>
                <w:rFonts w:ascii="仿宋_GB2312" w:hAnsi="宋体" w:eastAsia="仿宋_GB2312"/>
                <w:color w:val="auto"/>
                <w:sz w:val="24"/>
              </w:rPr>
            </w:pPr>
            <w:r>
              <w:rPr>
                <w:rFonts w:hint="eastAsia" w:ascii="仿宋_GB2312" w:hAnsi="宋体" w:eastAsia="仿宋_GB2312"/>
                <w:color w:val="auto"/>
                <w:sz w:val="24"/>
              </w:rPr>
              <w:t xml:space="preserve"> </w:t>
            </w:r>
            <w:r>
              <w:rPr>
                <w:rFonts w:ascii="仿宋_GB2312" w:hAnsi="宋体" w:eastAsia="仿宋_GB2312"/>
                <w:color w:val="auto"/>
                <w:sz w:val="24"/>
              </w:rPr>
              <w:t>HXZC01-2021-20007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7" w:hRule="atLeast"/>
          <w:jc w:val="center"/>
        </w:trPr>
        <w:tc>
          <w:tcPr>
            <w:tcW w:w="811" w:type="dxa"/>
            <w:tcBorders>
              <w:top w:val="single" w:color="auto" w:sz="8" w:space="0"/>
              <w:left w:val="single" w:color="auto" w:sz="1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5</w:t>
            </w:r>
          </w:p>
        </w:tc>
        <w:tc>
          <w:tcPr>
            <w:tcW w:w="2363" w:type="dxa"/>
            <w:tcBorders>
              <w:top w:val="single" w:color="auto" w:sz="8" w:space="0"/>
              <w:left w:val="single" w:color="auto" w:sz="8" w:space="0"/>
              <w:right w:val="single" w:color="auto" w:sz="8" w:space="0"/>
            </w:tcBorders>
            <w:vAlign w:val="center"/>
          </w:tcPr>
          <w:p>
            <w:pPr>
              <w:pStyle w:val="56"/>
              <w:spacing w:line="440" w:lineRule="exact"/>
              <w:ind w:left="38"/>
              <w:jc w:val="center"/>
              <w:rPr>
                <w:rFonts w:ascii="仿宋_GB2312" w:eastAsia="仿宋_GB2312"/>
                <w:color w:val="auto"/>
                <w:lang w:val="zh-CN"/>
              </w:rPr>
            </w:pPr>
            <w:r>
              <w:rPr>
                <w:rFonts w:hint="eastAsia" w:ascii="仿宋_GB2312" w:eastAsia="仿宋_GB2312"/>
                <w:color w:val="auto"/>
                <w:lang w:val="zh-CN"/>
              </w:rPr>
              <w:t>项目分包</w:t>
            </w:r>
          </w:p>
        </w:tc>
        <w:tc>
          <w:tcPr>
            <w:tcW w:w="6804" w:type="dxa"/>
            <w:tcBorders>
              <w:top w:val="single" w:color="auto" w:sz="8" w:space="0"/>
              <w:left w:val="single" w:color="auto" w:sz="8" w:space="0"/>
              <w:right w:val="single" w:color="auto" w:sz="18" w:space="0"/>
            </w:tcBorders>
            <w:vAlign w:val="center"/>
          </w:tcPr>
          <w:p>
            <w:pPr>
              <w:spacing w:line="440" w:lineRule="exact"/>
              <w:ind w:firstLine="240" w:firstLineChars="100"/>
              <w:rPr>
                <w:rFonts w:ascii="仿宋_GB2312" w:hAnsi="宋体" w:eastAsia="仿宋_GB2312"/>
                <w:color w:val="auto"/>
                <w:sz w:val="24"/>
                <w:u w:val="single"/>
              </w:rPr>
            </w:pPr>
            <w:r>
              <w:rPr>
                <w:rFonts w:hint="eastAsia" w:ascii="仿宋_GB2312" w:hAnsi="宋体" w:eastAsia="仿宋_GB2312"/>
                <w:color w:val="auto"/>
                <w:sz w:val="24"/>
              </w:rPr>
              <w:t>本项目共1个包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7" w:hRule="exact"/>
          <w:jc w:val="center"/>
        </w:trPr>
        <w:tc>
          <w:tcPr>
            <w:tcW w:w="811" w:type="dxa"/>
            <w:vMerge w:val="restart"/>
            <w:tcBorders>
              <w:top w:val="single" w:color="auto" w:sz="8" w:space="0"/>
              <w:left w:val="single" w:color="auto" w:sz="1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6</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ind w:left="38"/>
              <w:jc w:val="center"/>
              <w:rPr>
                <w:rFonts w:ascii="仿宋_GB2312" w:eastAsia="仿宋_GB2312"/>
                <w:color w:val="auto"/>
                <w:lang w:val="zh-CN"/>
              </w:rPr>
            </w:pPr>
            <w:r>
              <w:rPr>
                <w:rFonts w:hint="eastAsia" w:ascii="仿宋_GB2312" w:eastAsia="仿宋_GB2312"/>
                <w:color w:val="auto"/>
                <w:lang w:val="zh-CN"/>
              </w:rPr>
              <w:t>预算金额</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firstLine="240" w:firstLineChars="100"/>
              <w:jc w:val="both"/>
              <w:rPr>
                <w:rFonts w:ascii="仿宋_GB2312" w:eastAsia="仿宋_GB2312"/>
                <w:color w:val="auto"/>
                <w:lang w:val="zh-CN"/>
              </w:rPr>
            </w:pPr>
            <w:r>
              <w:rPr>
                <w:rFonts w:hint="eastAsia" w:ascii="仿宋_GB2312" w:eastAsia="仿宋_GB2312"/>
                <w:color w:val="auto"/>
              </w:rPr>
              <w:t>本项目预算金额￥</w:t>
            </w:r>
            <w:r>
              <w:rPr>
                <w:rFonts w:hint="eastAsia" w:ascii="仿宋_GB2312" w:eastAsia="仿宋_GB2312"/>
                <w:color w:val="auto"/>
                <w:u w:val="single"/>
              </w:rPr>
              <w:t xml:space="preserve"> </w:t>
            </w:r>
            <w:r>
              <w:rPr>
                <w:rFonts w:ascii="仿宋_GB2312" w:eastAsia="仿宋_GB2312"/>
                <w:color w:val="auto"/>
                <w:u w:val="single"/>
              </w:rPr>
              <w:t>1422000.00元</w:t>
            </w:r>
            <w:r>
              <w:rPr>
                <w:rFonts w:hint="eastAsia" w:ascii="仿宋_GB2312" w:eastAsia="仿宋_GB2312"/>
                <w:color w:val="auto"/>
                <w:u w:val="single"/>
              </w:rPr>
              <w:t xml:space="preserve"> </w:t>
            </w:r>
            <w:r>
              <w:rPr>
                <w:rFonts w:hint="eastAsia" w:ascii="仿宋_GB2312" w:eastAsia="仿宋_GB2312"/>
                <w:color w:val="auto"/>
              </w:rPr>
              <w:t>。投标人报价超出预算金额的，作为不实质性响应招标文件，按无效投标处理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24" w:hRule="exact"/>
          <w:jc w:val="center"/>
        </w:trPr>
        <w:tc>
          <w:tcPr>
            <w:tcW w:w="811" w:type="dxa"/>
            <w:vMerge w:val="continue"/>
            <w:tcBorders>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ind w:left="38"/>
              <w:jc w:val="center"/>
              <w:rPr>
                <w:rFonts w:ascii="仿宋_GB2312" w:eastAsia="仿宋_GB2312"/>
                <w:color w:val="auto"/>
                <w:lang w:val="zh-CN"/>
              </w:rPr>
            </w:pPr>
            <w:r>
              <w:rPr>
                <w:rFonts w:hint="eastAsia" w:ascii="仿宋_GB2312" w:eastAsia="仿宋_GB2312"/>
                <w:color w:val="auto"/>
                <w:lang w:val="zh-CN"/>
              </w:rPr>
              <w:t>最高限价</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firstLine="240" w:firstLineChars="100"/>
              <w:jc w:val="both"/>
              <w:rPr>
                <w:rFonts w:ascii="仿宋_GB2312" w:eastAsia="仿宋_GB2312"/>
                <w:color w:val="auto"/>
                <w:lang w:val="zh-CN"/>
              </w:rPr>
            </w:pPr>
            <w:r>
              <w:rPr>
                <w:rFonts w:hint="eastAsia" w:ascii="仿宋_GB2312" w:eastAsia="仿宋_GB2312"/>
                <w:color w:val="auto"/>
              </w:rPr>
              <w:t>本项目最高限价：￥</w:t>
            </w:r>
            <w:r>
              <w:rPr>
                <w:rFonts w:hint="eastAsia" w:ascii="仿宋_GB2312" w:eastAsia="仿宋_GB2312"/>
                <w:color w:val="auto"/>
                <w:u w:val="single"/>
              </w:rPr>
              <w:t xml:space="preserve"> </w:t>
            </w:r>
            <w:r>
              <w:rPr>
                <w:rFonts w:ascii="仿宋_GB2312" w:eastAsia="仿宋_GB2312"/>
                <w:color w:val="auto"/>
                <w:u w:val="single"/>
              </w:rPr>
              <w:t>1422000.00元</w:t>
            </w:r>
            <w:r>
              <w:rPr>
                <w:rFonts w:hint="eastAsia" w:ascii="仿宋_GB2312" w:eastAsia="仿宋_GB2312"/>
                <w:color w:val="auto"/>
                <w:u w:val="single"/>
              </w:rPr>
              <w:t xml:space="preserve"> </w:t>
            </w:r>
            <w:r>
              <w:rPr>
                <w:rFonts w:hint="eastAsia" w:ascii="仿宋_GB2312" w:eastAsia="仿宋_GB2312"/>
                <w:color w:val="auto"/>
              </w:rPr>
              <w:t>。投标人报价超出最高限价的，作为不实质性响应招标文件，按无效投标处理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4"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7</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ind w:left="38"/>
              <w:jc w:val="center"/>
              <w:rPr>
                <w:rFonts w:ascii="仿宋_GB2312" w:eastAsia="仿宋_GB2312"/>
                <w:color w:val="auto"/>
                <w:lang w:val="zh-CN"/>
              </w:rPr>
            </w:pPr>
            <w:r>
              <w:rPr>
                <w:rFonts w:hint="eastAsia" w:ascii="仿宋_GB2312" w:eastAsia="仿宋_GB2312"/>
                <w:color w:val="auto"/>
                <w:lang w:val="zh-CN"/>
              </w:rPr>
              <w:t>是否预留份额专门</w:t>
            </w:r>
          </w:p>
          <w:p>
            <w:pPr>
              <w:pStyle w:val="56"/>
              <w:spacing w:line="440" w:lineRule="exact"/>
              <w:ind w:left="38"/>
              <w:jc w:val="center"/>
              <w:rPr>
                <w:rFonts w:ascii="仿宋_GB2312" w:eastAsia="仿宋_GB2312"/>
                <w:color w:val="auto"/>
                <w:lang w:val="zh-CN"/>
              </w:rPr>
            </w:pPr>
            <w:r>
              <w:rPr>
                <w:rFonts w:hint="eastAsia" w:ascii="仿宋_GB2312" w:eastAsia="仿宋_GB2312"/>
                <w:color w:val="auto"/>
                <w:lang w:val="zh-CN"/>
              </w:rPr>
              <w:t>面向中小企业采购</w:t>
            </w:r>
          </w:p>
        </w:tc>
        <w:tc>
          <w:tcPr>
            <w:tcW w:w="6804" w:type="dxa"/>
            <w:tcBorders>
              <w:top w:val="single" w:color="auto" w:sz="8" w:space="0"/>
              <w:left w:val="single" w:color="auto" w:sz="8" w:space="0"/>
              <w:bottom w:val="single" w:color="auto" w:sz="8" w:space="0"/>
              <w:right w:val="single" w:color="auto" w:sz="18" w:space="0"/>
            </w:tcBorders>
            <w:vAlign w:val="center"/>
          </w:tcPr>
          <w:p>
            <w:pPr>
              <w:spacing w:line="440" w:lineRule="exact"/>
              <w:ind w:left="105" w:leftChars="50" w:right="105" w:rightChars="50" w:firstLine="120" w:firstLineChars="50"/>
              <w:rPr>
                <w:rFonts w:ascii="仿宋_GB2312" w:eastAsia="仿宋_GB2312"/>
                <w:color w:val="auto"/>
                <w:sz w:val="24"/>
                <w:lang w:val="zh-CN"/>
              </w:rPr>
            </w:pPr>
            <w:r>
              <w:rPr>
                <w:rFonts w:hint="eastAsia" w:ascii="仿宋_GB2312" w:hAnsi="宋体" w:eastAsia="仿宋_GB2312" w:cs="宋体"/>
                <w:color w:val="auto"/>
                <w:kern w:val="0"/>
                <w:sz w:val="24"/>
              </w:rPr>
              <w:t>本项目非专门面向中小企业采购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8</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是否接受联合体投标</w:t>
            </w:r>
          </w:p>
        </w:tc>
        <w:tc>
          <w:tcPr>
            <w:tcW w:w="6804" w:type="dxa"/>
            <w:tcBorders>
              <w:top w:val="single" w:color="auto" w:sz="8" w:space="0"/>
              <w:left w:val="single" w:color="auto" w:sz="8" w:space="0"/>
              <w:bottom w:val="single" w:color="auto" w:sz="8" w:space="0"/>
              <w:right w:val="single" w:color="auto" w:sz="18" w:space="0"/>
            </w:tcBorders>
            <w:vAlign w:val="center"/>
          </w:tcPr>
          <w:p>
            <w:pPr>
              <w:spacing w:line="440" w:lineRule="exact"/>
              <w:ind w:left="105" w:leftChars="50" w:right="105" w:rightChars="50" w:firstLine="120" w:firstLineChars="50"/>
              <w:rPr>
                <w:rFonts w:ascii="仿宋_GB2312" w:hAnsi="宋体" w:eastAsia="仿宋_GB2312"/>
                <w:color w:val="auto"/>
                <w:sz w:val="24"/>
              </w:rPr>
            </w:pPr>
            <w:r>
              <w:rPr>
                <w:rFonts w:hint="eastAsia" w:ascii="仿宋_GB2312" w:eastAsia="仿宋_GB2312"/>
                <w:color w:val="auto"/>
                <w:sz w:val="24"/>
              </w:rPr>
              <w:t>本项目不接受联合体投标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9"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9</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ind w:left="38"/>
              <w:jc w:val="center"/>
              <w:rPr>
                <w:rFonts w:ascii="仿宋_GB2312" w:eastAsia="仿宋_GB2312"/>
                <w:color w:val="auto"/>
                <w:lang w:val="zh-CN"/>
              </w:rPr>
            </w:pPr>
            <w:r>
              <w:rPr>
                <w:rFonts w:hint="eastAsia" w:ascii="仿宋_GB2312" w:eastAsia="仿宋_GB2312"/>
                <w:color w:val="auto"/>
                <w:lang w:val="zh-CN"/>
              </w:rPr>
              <w:t>采购内容</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jc w:val="both"/>
              <w:rPr>
                <w:rFonts w:ascii="仿宋_GB2312" w:eastAsia="仿宋_GB2312"/>
                <w:color w:val="auto"/>
                <w:lang w:val="zh-CN"/>
              </w:rPr>
            </w:pPr>
            <w:r>
              <w:rPr>
                <w:rFonts w:hint="eastAsia" w:ascii="仿宋_GB2312" w:eastAsia="仿宋_GB2312"/>
                <w:color w:val="auto"/>
                <w:lang w:val="zh-CN"/>
              </w:rPr>
              <w:t xml:space="preserve">  详见招标文件第四章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72"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10</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ind w:left="96"/>
              <w:jc w:val="center"/>
              <w:rPr>
                <w:rFonts w:ascii="仿宋_GB2312" w:eastAsia="仿宋_GB2312"/>
                <w:color w:val="auto"/>
                <w:lang w:val="zh-CN"/>
              </w:rPr>
            </w:pPr>
            <w:r>
              <w:rPr>
                <w:rFonts w:hint="eastAsia" w:ascii="仿宋_GB2312" w:eastAsia="仿宋_GB2312"/>
                <w:color w:val="auto"/>
                <w:lang w:val="zh-CN"/>
              </w:rPr>
              <w:t>交货期</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left="694" w:leftChars="102" w:hanging="480" w:hangingChars="200"/>
              <w:jc w:val="both"/>
              <w:rPr>
                <w:rFonts w:ascii="仿宋_GB2312" w:eastAsia="仿宋_GB2312"/>
                <w:color w:val="auto"/>
                <w:lang w:val="zh-CN"/>
              </w:rPr>
            </w:pPr>
            <w:r>
              <w:rPr>
                <w:rFonts w:hint="eastAsia" w:ascii="仿宋_GB2312" w:eastAsia="仿宋_GB2312"/>
                <w:color w:val="auto"/>
                <w:lang w:val="zh-CN"/>
              </w:rPr>
              <w:t>交货期：</w:t>
            </w:r>
            <w:r>
              <w:rPr>
                <w:rFonts w:hint="eastAsia" w:ascii="仿宋_GB2312" w:eastAsia="仿宋_GB2312"/>
                <w:color w:val="auto"/>
                <w:u w:val="single"/>
                <w:lang w:val="zh-CN"/>
              </w:rPr>
              <w:t xml:space="preserve"> 30 </w:t>
            </w:r>
            <w:r>
              <w:rPr>
                <w:rFonts w:hint="eastAsia" w:ascii="仿宋_GB2312" w:eastAsia="仿宋_GB2312"/>
                <w:color w:val="auto"/>
                <w:lang w:val="zh-CN"/>
              </w:rPr>
              <w:t>日历天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3"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11</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ind w:left="96"/>
              <w:jc w:val="center"/>
              <w:rPr>
                <w:rFonts w:ascii="仿宋_GB2312" w:eastAsia="仿宋_GB2312"/>
                <w:color w:val="auto"/>
                <w:lang w:val="zh-CN"/>
              </w:rPr>
            </w:pPr>
            <w:r>
              <w:rPr>
                <w:rFonts w:hint="eastAsia" w:ascii="仿宋_GB2312" w:eastAsia="仿宋_GB2312"/>
                <w:color w:val="auto"/>
                <w:lang w:val="zh-CN"/>
              </w:rPr>
              <w:t>交货地点</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left="694" w:leftChars="102" w:hanging="480" w:hangingChars="200"/>
              <w:rPr>
                <w:rFonts w:ascii="仿宋_GB2312" w:eastAsia="仿宋_GB2312"/>
                <w:color w:val="auto"/>
                <w:lang w:val="zh-CN"/>
              </w:rPr>
            </w:pPr>
            <w:r>
              <w:rPr>
                <w:rFonts w:hint="eastAsia" w:ascii="仿宋_GB2312" w:eastAsia="仿宋_GB2312"/>
                <w:color w:val="auto"/>
                <w:lang w:val="zh-CN"/>
              </w:rPr>
              <w:t>采购人指定地点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9"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12</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ind w:left="96"/>
              <w:jc w:val="center"/>
              <w:rPr>
                <w:rFonts w:ascii="仿宋_GB2312" w:eastAsia="仿宋_GB2312"/>
                <w:color w:val="auto"/>
                <w:lang w:val="zh-CN"/>
              </w:rPr>
            </w:pPr>
            <w:r>
              <w:rPr>
                <w:rFonts w:hint="eastAsia" w:ascii="仿宋_GB2312" w:eastAsia="仿宋_GB2312"/>
                <w:color w:val="auto"/>
                <w:lang w:val="zh-CN"/>
              </w:rPr>
              <w:t>质量要求、验收标准</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firstLine="240" w:firstLineChars="100"/>
              <w:jc w:val="both"/>
              <w:rPr>
                <w:rFonts w:ascii="仿宋_GB2312" w:eastAsia="仿宋_GB2312"/>
                <w:color w:val="auto"/>
              </w:rPr>
            </w:pPr>
            <w:r>
              <w:rPr>
                <w:rFonts w:hint="eastAsia" w:ascii="仿宋_GB2312" w:eastAsia="仿宋_GB2312"/>
                <w:color w:val="auto"/>
              </w:rPr>
              <w:t>详见招标文件第四章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4"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13</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货款支付方式、</w:t>
            </w:r>
          </w:p>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时间和条件</w:t>
            </w:r>
          </w:p>
        </w:tc>
        <w:tc>
          <w:tcPr>
            <w:tcW w:w="6804" w:type="dxa"/>
            <w:tcBorders>
              <w:top w:val="single" w:color="auto" w:sz="8" w:space="0"/>
              <w:left w:val="single" w:color="auto" w:sz="8" w:space="0"/>
              <w:bottom w:val="single" w:color="auto" w:sz="8" w:space="0"/>
              <w:right w:val="single" w:color="auto" w:sz="18" w:space="0"/>
            </w:tcBorders>
            <w:vAlign w:val="center"/>
          </w:tcPr>
          <w:p>
            <w:pPr>
              <w:spacing w:line="440" w:lineRule="exact"/>
              <w:ind w:left="105" w:leftChars="50" w:right="105" w:rightChars="50" w:firstLine="120" w:firstLineChars="50"/>
              <w:rPr>
                <w:rFonts w:ascii="仿宋_GB2312" w:hAnsi="宋体" w:eastAsia="仿宋_GB2312"/>
                <w:color w:val="auto"/>
                <w:sz w:val="24"/>
              </w:rPr>
            </w:pPr>
            <w:r>
              <w:rPr>
                <w:rFonts w:hint="eastAsia" w:ascii="仿宋_GB2312" w:hAnsi="宋体" w:eastAsia="仿宋_GB2312"/>
                <w:color w:val="auto"/>
                <w:sz w:val="24"/>
              </w:rPr>
              <w:t>详见招标文件第五章第三条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5"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14</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rPr>
                <w:rFonts w:ascii="仿宋_GB2312" w:eastAsia="仿宋_GB2312"/>
                <w:color w:val="auto"/>
                <w:lang w:val="zh-CN"/>
              </w:rPr>
            </w:pPr>
            <w:r>
              <w:rPr>
                <w:rFonts w:hint="eastAsia" w:ascii="仿宋_GB2312" w:eastAsia="仿宋_GB2312"/>
                <w:color w:val="auto"/>
                <w:lang w:val="zh-CN"/>
              </w:rPr>
              <w:t>考察现场、标前答疑会</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left="210" w:leftChars="100"/>
              <w:rPr>
                <w:rFonts w:ascii="仿宋_GB2312" w:eastAsia="仿宋_GB2312"/>
                <w:color w:val="auto"/>
                <w:lang w:val="zh-CN"/>
              </w:rPr>
            </w:pPr>
            <w:r>
              <w:rPr>
                <w:rFonts w:hint="eastAsia" w:ascii="仿宋_GB2312" w:eastAsia="仿宋_GB2312"/>
                <w:color w:val="auto"/>
                <w:lang w:val="zh-CN"/>
              </w:rPr>
              <w:sym w:font="Wingdings 2" w:char="F052"/>
            </w:r>
            <w:r>
              <w:rPr>
                <w:rFonts w:hint="eastAsia" w:ascii="仿宋_GB2312" w:eastAsia="仿宋_GB2312"/>
                <w:color w:val="auto"/>
                <w:lang w:val="zh-CN"/>
              </w:rPr>
              <w:t xml:space="preserve"> 不组织</w:t>
            </w:r>
          </w:p>
          <w:p>
            <w:pPr>
              <w:pStyle w:val="56"/>
              <w:spacing w:line="440" w:lineRule="exact"/>
              <w:ind w:left="210" w:leftChars="100"/>
              <w:rPr>
                <w:rFonts w:ascii="仿宋_GB2312" w:eastAsia="仿宋_GB2312"/>
                <w:color w:val="auto"/>
                <w:lang w:val="zh-CN"/>
              </w:rPr>
            </w:pPr>
            <w:r>
              <w:rPr>
                <w:rFonts w:hint="eastAsia" w:ascii="仿宋_GB2312" w:eastAsia="仿宋_GB2312"/>
                <w:color w:val="auto"/>
                <w:lang w:val="zh-CN"/>
              </w:rPr>
              <w:t>□ 组织，时间、地点另行书面通知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1"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15</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转包与分包</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firstLine="240" w:firstLineChars="100"/>
              <w:rPr>
                <w:rFonts w:ascii="仿宋_GB2312" w:eastAsia="仿宋_GB2312"/>
                <w:color w:val="auto"/>
                <w:lang w:val="zh-CN"/>
              </w:rPr>
            </w:pPr>
            <w:r>
              <w:rPr>
                <w:rFonts w:hint="eastAsia" w:ascii="仿宋_GB2312" w:eastAsia="仿宋_GB2312"/>
                <w:color w:val="auto"/>
                <w:lang w:val="zh-CN"/>
              </w:rPr>
              <w:t>不得转包与分包</w:t>
            </w:r>
            <w:r>
              <w:rPr>
                <w:rFonts w:hint="eastAsia" w:ascii="仿宋_GB2312" w:eastAsia="仿宋_GB2312"/>
                <w:color w:val="auto"/>
              </w:rPr>
              <w:t>（详见投标人须知第3.5条款）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1"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16</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非实质性偏离</w:t>
            </w:r>
          </w:p>
        </w:tc>
        <w:tc>
          <w:tcPr>
            <w:tcW w:w="6804" w:type="dxa"/>
            <w:tcBorders>
              <w:top w:val="single" w:color="auto" w:sz="8" w:space="0"/>
              <w:left w:val="single" w:color="auto" w:sz="8" w:space="0"/>
              <w:bottom w:val="single" w:color="auto" w:sz="8" w:space="0"/>
              <w:right w:val="single" w:color="auto" w:sz="18" w:space="0"/>
            </w:tcBorders>
            <w:vAlign w:val="center"/>
          </w:tcPr>
          <w:p>
            <w:pPr>
              <w:pStyle w:val="9"/>
              <w:spacing w:line="440" w:lineRule="exact"/>
              <w:ind w:firstLine="360" w:firstLineChars="150"/>
              <w:rPr>
                <w:rFonts w:ascii="仿宋_GB2312" w:eastAsia="仿宋_GB2312"/>
                <w:color w:val="auto"/>
                <w:sz w:val="24"/>
                <w:lang w:val="zh-CN"/>
              </w:rPr>
            </w:pPr>
            <w:r>
              <w:rPr>
                <w:rFonts w:hint="eastAsia" w:ascii="仿宋_GB2312" w:eastAsia="仿宋_GB2312"/>
                <w:color w:val="auto"/>
                <w:sz w:val="24"/>
                <w:lang w:val="zh-CN"/>
              </w:rPr>
              <w:t>□不允许</w:t>
            </w:r>
          </w:p>
          <w:p>
            <w:pPr>
              <w:pStyle w:val="9"/>
              <w:spacing w:line="440" w:lineRule="exact"/>
              <w:ind w:firstLine="360" w:firstLineChars="150"/>
              <w:rPr>
                <w:rFonts w:ascii="仿宋_GB2312" w:eastAsia="仿宋_GB2312"/>
                <w:color w:val="auto"/>
                <w:sz w:val="24"/>
                <w:lang w:val="zh-CN"/>
              </w:rPr>
            </w:pPr>
            <w:r>
              <w:rPr>
                <w:rFonts w:hint="eastAsia" w:ascii="仿宋_GB2312" w:eastAsia="仿宋_GB2312"/>
                <w:color w:val="auto"/>
                <w:sz w:val="24"/>
                <w:lang w:val="zh-CN"/>
              </w:rPr>
              <w:sym w:font="Wingdings 2" w:char="F052"/>
            </w:r>
            <w:r>
              <w:rPr>
                <w:rFonts w:hint="eastAsia" w:ascii="仿宋_GB2312" w:eastAsia="仿宋_GB2312"/>
                <w:color w:val="auto"/>
                <w:sz w:val="24"/>
                <w:lang w:val="zh-CN"/>
              </w:rPr>
              <w:t>允许，偏离范围：符合或接近项目实际。</w:t>
            </w:r>
          </w:p>
          <w:p>
            <w:pPr>
              <w:pStyle w:val="9"/>
              <w:spacing w:line="440" w:lineRule="exact"/>
              <w:ind w:firstLine="360" w:firstLineChars="150"/>
              <w:rPr>
                <w:rFonts w:ascii="仿宋_GB2312" w:eastAsia="仿宋_GB2312"/>
                <w:color w:val="auto"/>
                <w:lang w:val="zh-CN"/>
              </w:rPr>
            </w:pPr>
            <w:r>
              <w:rPr>
                <w:rFonts w:hint="eastAsia" w:ascii="仿宋_GB2312" w:eastAsia="仿宋_GB2312"/>
                <w:color w:val="auto"/>
                <w:sz w:val="24"/>
                <w:lang w:val="zh-CN"/>
              </w:rPr>
              <w:t xml:space="preserve">        最高项数：</w:t>
            </w:r>
            <w:r>
              <w:rPr>
                <w:rFonts w:hint="eastAsia" w:ascii="仿宋_GB2312" w:eastAsia="仿宋_GB2312"/>
                <w:color w:val="auto"/>
                <w:sz w:val="24"/>
                <w:lang w:val="en-US" w:eastAsia="zh-CN"/>
              </w:rPr>
              <w:t>10</w:t>
            </w:r>
            <w:r>
              <w:rPr>
                <w:rFonts w:hint="eastAsia" w:ascii="仿宋_GB2312" w:eastAsia="仿宋_GB2312"/>
                <w:color w:val="auto"/>
                <w:sz w:val="24"/>
                <w:lang w:val="zh-CN"/>
              </w:rPr>
              <w:t>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92"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17</w:t>
            </w:r>
          </w:p>
        </w:tc>
        <w:tc>
          <w:tcPr>
            <w:tcW w:w="2363" w:type="dxa"/>
            <w:tcBorders>
              <w:top w:val="single" w:color="auto" w:sz="8" w:space="0"/>
              <w:left w:val="single" w:color="auto" w:sz="8" w:space="0"/>
              <w:bottom w:val="single" w:color="auto" w:sz="8" w:space="0"/>
              <w:right w:val="single" w:color="auto" w:sz="8" w:space="0"/>
            </w:tcBorders>
            <w:vAlign w:val="center"/>
          </w:tcPr>
          <w:p>
            <w:pPr>
              <w:pStyle w:val="9"/>
              <w:spacing w:line="440" w:lineRule="exact"/>
              <w:ind w:firstLine="480"/>
              <w:rPr>
                <w:rFonts w:ascii="仿宋_GB2312" w:eastAsia="仿宋_GB2312"/>
                <w:color w:val="auto"/>
                <w:sz w:val="24"/>
              </w:rPr>
            </w:pPr>
            <w:r>
              <w:rPr>
                <w:rFonts w:hint="eastAsia" w:ascii="仿宋_GB2312" w:eastAsia="仿宋_GB2312"/>
                <w:color w:val="auto"/>
                <w:sz w:val="24"/>
              </w:rPr>
              <w:t>招标文件澄清</w:t>
            </w:r>
          </w:p>
          <w:p>
            <w:pPr>
              <w:pStyle w:val="9"/>
              <w:spacing w:line="440" w:lineRule="exact"/>
              <w:ind w:firstLine="0" w:firstLineChars="0"/>
              <w:jc w:val="center"/>
              <w:rPr>
                <w:rFonts w:ascii="仿宋_GB2312" w:eastAsia="仿宋_GB2312"/>
                <w:color w:val="auto"/>
                <w:sz w:val="24"/>
                <w:lang w:val="zh-CN"/>
              </w:rPr>
            </w:pPr>
            <w:r>
              <w:rPr>
                <w:rFonts w:hint="eastAsia" w:ascii="仿宋_GB2312" w:eastAsia="仿宋_GB2312"/>
                <w:color w:val="auto"/>
                <w:sz w:val="24"/>
              </w:rPr>
              <w:t>或修改时间、形式</w:t>
            </w:r>
          </w:p>
        </w:tc>
        <w:tc>
          <w:tcPr>
            <w:tcW w:w="6804" w:type="dxa"/>
            <w:tcBorders>
              <w:top w:val="single" w:color="auto" w:sz="8" w:space="0"/>
              <w:left w:val="single" w:color="auto" w:sz="8" w:space="0"/>
              <w:bottom w:val="single" w:color="auto" w:sz="8" w:space="0"/>
              <w:right w:val="single" w:color="auto" w:sz="18" w:space="0"/>
            </w:tcBorders>
            <w:vAlign w:val="center"/>
          </w:tcPr>
          <w:p>
            <w:pPr>
              <w:pStyle w:val="9"/>
              <w:spacing w:line="440" w:lineRule="exact"/>
              <w:ind w:firstLine="360" w:firstLineChars="150"/>
              <w:rPr>
                <w:rFonts w:ascii="仿宋_GB2312" w:hAnsi="宋体" w:eastAsia="仿宋_GB2312"/>
                <w:color w:val="auto"/>
                <w:sz w:val="24"/>
              </w:rPr>
            </w:pPr>
            <w:r>
              <w:rPr>
                <w:rFonts w:hint="eastAsia" w:ascii="仿宋_GB2312" w:eastAsia="仿宋_GB2312"/>
                <w:color w:val="auto"/>
                <w:sz w:val="24"/>
                <w:lang w:val="zh-CN"/>
              </w:rPr>
              <w:t>时间：</w:t>
            </w:r>
            <w:r>
              <w:rPr>
                <w:rFonts w:hint="eastAsia" w:ascii="仿宋_GB2312" w:hAnsi="宋体" w:eastAsia="仿宋_GB2312"/>
                <w:color w:val="auto"/>
                <w:sz w:val="24"/>
              </w:rPr>
              <w:t>递交投标文件截至时间15日前</w:t>
            </w:r>
          </w:p>
          <w:p>
            <w:pPr>
              <w:pStyle w:val="9"/>
              <w:spacing w:line="440" w:lineRule="exact"/>
              <w:ind w:firstLine="360" w:firstLineChars="150"/>
              <w:rPr>
                <w:rFonts w:ascii="仿宋_GB2312" w:eastAsia="仿宋_GB2312"/>
                <w:color w:val="auto"/>
                <w:sz w:val="24"/>
                <w:lang w:val="zh-CN"/>
              </w:rPr>
            </w:pPr>
            <w:r>
              <w:rPr>
                <w:rFonts w:hint="eastAsia" w:ascii="仿宋_GB2312" w:hAnsi="宋体" w:eastAsia="仿宋_GB2312"/>
                <w:color w:val="auto"/>
                <w:sz w:val="24"/>
              </w:rPr>
              <w:t>形式：</w:t>
            </w:r>
            <w:r>
              <w:rPr>
                <w:rFonts w:hint="eastAsia" w:ascii="仿宋_GB2312" w:eastAsia="仿宋_GB2312"/>
                <w:color w:val="auto"/>
                <w:sz w:val="24"/>
              </w:rPr>
              <w:t>电子和公告形式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18</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ind w:left="52"/>
              <w:jc w:val="center"/>
              <w:rPr>
                <w:rFonts w:ascii="仿宋_GB2312" w:eastAsia="仿宋_GB2312"/>
                <w:color w:val="auto"/>
                <w:lang w:val="zh-CN"/>
              </w:rPr>
            </w:pPr>
            <w:r>
              <w:rPr>
                <w:rFonts w:hint="eastAsia" w:ascii="仿宋_GB2312" w:eastAsia="仿宋_GB2312"/>
                <w:color w:val="auto"/>
                <w:lang w:val="zh-CN"/>
              </w:rPr>
              <w:t>构成招标文件的</w:t>
            </w:r>
          </w:p>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其他文件</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firstLine="120" w:firstLineChars="50"/>
              <w:rPr>
                <w:rFonts w:ascii="仿宋_GB2312" w:eastAsia="仿宋_GB2312"/>
                <w:color w:val="auto"/>
                <w:lang w:val="zh-CN"/>
              </w:rPr>
            </w:pPr>
            <w:r>
              <w:rPr>
                <w:rFonts w:hint="eastAsia" w:ascii="仿宋_GB2312" w:eastAsia="仿宋_GB2312"/>
                <w:color w:val="auto"/>
                <w:lang w:val="zh-CN"/>
              </w:rPr>
              <w:t>招标文件的澄清</w:t>
            </w:r>
            <w:r>
              <w:rPr>
                <w:rFonts w:hint="eastAsia" w:ascii="仿宋_GB2312" w:eastAsia="仿宋_GB2312"/>
                <w:color w:val="auto"/>
              </w:rPr>
              <w:t>、修改书及有关补充通知为招标文件的有效组成部分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6"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19</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投标人对招标文件</w:t>
            </w:r>
          </w:p>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提出质疑的时间、形式</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firstLine="120" w:firstLineChars="50"/>
              <w:rPr>
                <w:rFonts w:ascii="仿宋_GB2312" w:eastAsia="仿宋_GB2312"/>
                <w:color w:val="auto"/>
                <w:lang w:val="zh-CN"/>
              </w:rPr>
            </w:pPr>
            <w:r>
              <w:rPr>
                <w:rFonts w:hint="eastAsia" w:ascii="仿宋_GB2312" w:eastAsia="仿宋_GB2312"/>
                <w:color w:val="auto"/>
                <w:lang w:val="zh-CN"/>
              </w:rPr>
              <w:t>时间：自投标人收到招标文件之日起7个工作日内，超过期限的采购人或采购代理机构不再受理</w:t>
            </w:r>
          </w:p>
          <w:p>
            <w:pPr>
              <w:pStyle w:val="56"/>
              <w:spacing w:line="440" w:lineRule="exact"/>
              <w:ind w:firstLine="240" w:firstLineChars="100"/>
              <w:rPr>
                <w:rFonts w:ascii="仿宋_GB2312" w:eastAsia="仿宋_GB2312"/>
                <w:color w:val="auto"/>
                <w:lang w:val="zh-CN"/>
              </w:rPr>
            </w:pPr>
            <w:r>
              <w:rPr>
                <w:rFonts w:hint="eastAsia" w:ascii="仿宋_GB2312" w:eastAsia="仿宋_GB2312"/>
                <w:color w:val="auto"/>
                <w:lang w:val="zh-CN"/>
              </w:rPr>
              <w:t>形式：书面（详见</w:t>
            </w:r>
            <w:r>
              <w:rPr>
                <w:rFonts w:hint="eastAsia" w:ascii="仿宋_GB2312" w:eastAsia="仿宋_GB2312"/>
                <w:color w:val="auto"/>
              </w:rPr>
              <w:t>投标人须知第12.1.3条款</w:t>
            </w:r>
            <w:r>
              <w:rPr>
                <w:rFonts w:hint="eastAsia" w:ascii="仿宋_GB2312" w:eastAsia="仿宋_GB2312"/>
                <w:color w:val="auto"/>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18"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20</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对投标人提出质疑</w:t>
            </w:r>
          </w:p>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答复时间、形式</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firstLine="240" w:firstLineChars="100"/>
              <w:rPr>
                <w:rFonts w:ascii="仿宋_GB2312" w:eastAsia="仿宋_GB2312"/>
                <w:color w:val="auto"/>
                <w:lang w:val="zh-CN"/>
              </w:rPr>
            </w:pPr>
            <w:r>
              <w:rPr>
                <w:rFonts w:hint="eastAsia" w:ascii="仿宋_GB2312" w:eastAsia="仿宋_GB2312"/>
                <w:color w:val="auto"/>
                <w:lang w:val="zh-CN"/>
              </w:rPr>
              <w:t>时间：自收到投标人质疑函之日起7个工作日内</w:t>
            </w:r>
          </w:p>
          <w:p>
            <w:pPr>
              <w:pStyle w:val="56"/>
              <w:spacing w:line="440" w:lineRule="exact"/>
              <w:ind w:firstLine="240" w:firstLineChars="100"/>
              <w:rPr>
                <w:rFonts w:ascii="仿宋_GB2312" w:eastAsia="仿宋_GB2312"/>
                <w:color w:val="auto"/>
              </w:rPr>
            </w:pPr>
            <w:r>
              <w:rPr>
                <w:rFonts w:hint="eastAsia" w:ascii="仿宋_GB2312" w:eastAsia="仿宋_GB2312"/>
                <w:color w:val="auto"/>
                <w:lang w:val="zh-CN"/>
              </w:rPr>
              <w:t>形式：书面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7"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21</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ind w:left="33"/>
              <w:jc w:val="center"/>
              <w:rPr>
                <w:rFonts w:ascii="仿宋_GB2312" w:eastAsia="仿宋_GB2312"/>
                <w:color w:val="auto"/>
                <w:lang w:val="zh-CN"/>
              </w:rPr>
            </w:pPr>
            <w:r>
              <w:rPr>
                <w:rFonts w:hint="eastAsia" w:ascii="仿宋_GB2312" w:eastAsia="仿宋_GB2312"/>
                <w:color w:val="auto"/>
                <w:lang w:val="zh-CN"/>
              </w:rPr>
              <w:t>投标有效期</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firstLine="240" w:firstLineChars="100"/>
              <w:jc w:val="both"/>
              <w:rPr>
                <w:rFonts w:ascii="仿宋_GB2312" w:eastAsia="仿宋_GB2312"/>
                <w:color w:val="auto"/>
                <w:lang w:val="zh-CN"/>
              </w:rPr>
            </w:pPr>
            <w:r>
              <w:rPr>
                <w:rFonts w:hint="eastAsia" w:ascii="仿宋_GB2312" w:eastAsia="仿宋_GB2312"/>
                <w:color w:val="auto"/>
                <w:lang w:val="zh-CN"/>
              </w:rPr>
              <w:t>从投标截止日起90日历天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6"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22</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ind w:left="33"/>
              <w:jc w:val="center"/>
              <w:rPr>
                <w:rFonts w:ascii="仿宋_GB2312" w:eastAsia="仿宋_GB2312"/>
                <w:color w:val="auto"/>
                <w:lang w:val="zh-CN"/>
              </w:rPr>
            </w:pPr>
            <w:r>
              <w:rPr>
                <w:rFonts w:hint="eastAsia" w:ascii="仿宋_GB2312" w:eastAsia="仿宋_GB2312"/>
                <w:color w:val="auto"/>
                <w:lang w:val="zh-CN"/>
              </w:rPr>
              <w:t>是否允许递交</w:t>
            </w:r>
          </w:p>
          <w:p>
            <w:pPr>
              <w:pStyle w:val="56"/>
              <w:spacing w:line="440" w:lineRule="exact"/>
              <w:ind w:left="33"/>
              <w:jc w:val="center"/>
              <w:rPr>
                <w:rFonts w:ascii="仿宋_GB2312" w:eastAsia="仿宋_GB2312"/>
                <w:color w:val="auto"/>
                <w:lang w:val="zh-CN"/>
              </w:rPr>
            </w:pPr>
            <w:r>
              <w:rPr>
                <w:rFonts w:hint="eastAsia" w:ascii="仿宋_GB2312" w:eastAsia="仿宋_GB2312"/>
                <w:color w:val="auto"/>
                <w:lang w:val="zh-CN"/>
              </w:rPr>
              <w:t>多个备选投标方案</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left="34" w:leftChars="16" w:firstLine="120" w:firstLineChars="50"/>
              <w:rPr>
                <w:rFonts w:ascii="仿宋_GB2312" w:eastAsia="仿宋_GB2312"/>
                <w:color w:val="auto"/>
                <w:lang w:val="zh-CN"/>
              </w:rPr>
            </w:pPr>
            <w:r>
              <w:rPr>
                <w:rFonts w:hint="eastAsia" w:ascii="仿宋_GB2312" w:eastAsia="仿宋_GB2312"/>
                <w:color w:val="auto"/>
                <w:lang w:val="zh-CN"/>
              </w:rPr>
              <w:t>不允许递交多个备选投标方案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2"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23</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ind w:left="33"/>
              <w:jc w:val="center"/>
              <w:rPr>
                <w:rFonts w:ascii="仿宋_GB2312" w:eastAsia="仿宋_GB2312"/>
                <w:color w:val="auto"/>
                <w:lang w:val="zh-CN"/>
              </w:rPr>
            </w:pPr>
            <w:r>
              <w:rPr>
                <w:rFonts w:hint="eastAsia" w:ascii="仿宋_GB2312" w:eastAsia="仿宋_GB2312"/>
                <w:color w:val="auto"/>
                <w:lang w:val="zh-CN"/>
              </w:rPr>
              <w:t>投标保证金</w:t>
            </w:r>
          </w:p>
        </w:tc>
        <w:tc>
          <w:tcPr>
            <w:tcW w:w="6804" w:type="dxa"/>
            <w:tcBorders>
              <w:top w:val="single" w:color="auto" w:sz="8" w:space="0"/>
              <w:left w:val="single" w:color="auto" w:sz="8" w:space="0"/>
              <w:bottom w:val="single" w:color="auto" w:sz="8" w:space="0"/>
              <w:right w:val="single" w:color="auto" w:sz="18" w:space="0"/>
            </w:tcBorders>
            <w:vAlign w:val="center"/>
          </w:tcPr>
          <w:p>
            <w:pPr>
              <w:spacing w:line="440" w:lineRule="exact"/>
              <w:rPr>
                <w:rFonts w:ascii="仿宋_GB2312" w:hAnsi="宋体" w:eastAsia="仿宋_GB2312"/>
                <w:color w:val="auto"/>
                <w:sz w:val="24"/>
              </w:rPr>
            </w:pPr>
            <w:r>
              <w:rPr>
                <w:rFonts w:hint="eastAsia" w:ascii="仿宋_GB2312" w:hAnsi="宋体" w:eastAsia="仿宋_GB2312"/>
                <w:color w:val="auto"/>
                <w:sz w:val="24"/>
              </w:rPr>
              <w:t xml:space="preserve">  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38"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24</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投标文件份数</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left="34" w:leftChars="16" w:firstLine="120" w:firstLineChars="50"/>
              <w:rPr>
                <w:rFonts w:ascii="仿宋_GB2312" w:eastAsia="仿宋_GB2312"/>
                <w:color w:val="auto"/>
                <w:lang w:val="zh-CN"/>
              </w:rPr>
            </w:pPr>
            <w:r>
              <w:rPr>
                <w:rFonts w:hint="eastAsia" w:ascii="仿宋_GB2312" w:eastAsia="仿宋_GB2312"/>
                <w:color w:val="auto"/>
                <w:lang w:val="zh-CN"/>
              </w:rPr>
              <w:t>纸质版投标文件正本壹套、副本贰套；</w:t>
            </w:r>
          </w:p>
          <w:p>
            <w:pPr>
              <w:pStyle w:val="56"/>
              <w:spacing w:line="440" w:lineRule="exact"/>
              <w:ind w:left="34" w:leftChars="16" w:firstLine="120" w:firstLineChars="50"/>
              <w:rPr>
                <w:rFonts w:ascii="仿宋_GB2312" w:eastAsia="仿宋_GB2312"/>
                <w:color w:val="auto"/>
                <w:lang w:val="zh-CN"/>
              </w:rPr>
            </w:pPr>
            <w:r>
              <w:rPr>
                <w:rFonts w:hint="eastAsia" w:ascii="仿宋_GB2312" w:eastAsia="仿宋_GB2312"/>
                <w:color w:val="auto"/>
                <w:lang w:val="zh-CN"/>
              </w:rPr>
              <w:t>电子版投标文件光盘壹张、U盘壹个；</w:t>
            </w:r>
          </w:p>
          <w:p>
            <w:pPr>
              <w:pStyle w:val="56"/>
              <w:spacing w:line="440" w:lineRule="exact"/>
              <w:ind w:left="34" w:leftChars="16" w:firstLine="120" w:firstLineChars="50"/>
              <w:rPr>
                <w:rFonts w:ascii="仿宋_GB2312" w:eastAsia="仿宋_GB2312"/>
                <w:color w:val="auto"/>
                <w:lang w:val="zh-CN"/>
              </w:rPr>
            </w:pPr>
            <w:r>
              <w:rPr>
                <w:rFonts w:hint="eastAsia" w:ascii="仿宋_GB2312" w:eastAsia="仿宋_GB2312"/>
                <w:color w:val="auto"/>
                <w:lang w:val="zh-CN"/>
              </w:rPr>
              <w:t>中标人在领取中标通知书时须再递交一套纸质版投标文件副本。</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65"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25</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投标文件签字</w:t>
            </w:r>
          </w:p>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或盖章要求</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firstLine="240" w:firstLineChars="100"/>
              <w:rPr>
                <w:rFonts w:ascii="仿宋_GB2312" w:eastAsia="仿宋_GB2312"/>
                <w:color w:val="auto"/>
                <w:lang w:val="zh-CN"/>
              </w:rPr>
            </w:pPr>
            <w:r>
              <w:rPr>
                <w:rFonts w:hint="eastAsia" w:ascii="仿宋_GB2312" w:eastAsia="仿宋_GB2312"/>
                <w:color w:val="auto"/>
                <w:lang w:val="zh-CN"/>
              </w:rPr>
              <w:t>投标人应按招标文件的规定和要求进行签字、盖章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133"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26</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纸质版投标文件装订</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firstLine="240" w:firstLineChars="100"/>
              <w:rPr>
                <w:rFonts w:ascii="仿宋_GB2312" w:eastAsia="仿宋_GB2312"/>
                <w:color w:val="auto"/>
                <w:lang w:val="zh-CN"/>
              </w:rPr>
            </w:pPr>
            <w:r>
              <w:rPr>
                <w:rFonts w:hint="eastAsia" w:ascii="仿宋_GB2312" w:eastAsia="仿宋_GB2312"/>
                <w:color w:val="auto"/>
                <w:lang w:val="zh-CN"/>
              </w:rPr>
              <w:t>所有纸质版投标文件一律胶装成册（左侧装订），不得采用订书机简单装订、活页夹、文件夹、塑料方便式书脊（插入式或穿孔式）装订，全部纸质版投标文件不得出现可以插页、抽页或存在活页（可自由抽取出来的书页）现象。纸质版投标文件正本和副本分别装订。</w:t>
            </w:r>
          </w:p>
          <w:p>
            <w:pPr>
              <w:pStyle w:val="56"/>
              <w:spacing w:line="440" w:lineRule="exact"/>
              <w:ind w:firstLine="240" w:firstLineChars="100"/>
              <w:rPr>
                <w:rFonts w:ascii="仿宋_GB2312" w:eastAsia="仿宋_GB2312"/>
                <w:color w:val="auto"/>
                <w:lang w:val="zh-CN"/>
              </w:rPr>
            </w:pPr>
            <w:r>
              <w:rPr>
                <w:rFonts w:hint="eastAsia" w:ascii="仿宋_GB2312" w:eastAsia="仿宋_GB2312"/>
                <w:color w:val="auto"/>
                <w:lang w:val="zh-CN"/>
              </w:rPr>
              <w:t>纸质版投标文件若需分册装订的，各册投标文件装订要求应符合上述要求。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72"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27</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jc w:val="center"/>
              <w:rPr>
                <w:rFonts w:ascii="仿宋_GB2312" w:eastAsia="仿宋_GB2312" w:cs="Arial"/>
                <w:color w:val="auto"/>
                <w:lang w:val="zh-CN"/>
              </w:rPr>
            </w:pPr>
            <w:r>
              <w:rPr>
                <w:rFonts w:hint="eastAsia" w:ascii="仿宋_GB2312" w:eastAsia="仿宋_GB2312"/>
                <w:color w:val="auto"/>
                <w:lang w:val="zh-CN"/>
              </w:rPr>
              <w:t>投标文件封面标记</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firstLine="240" w:firstLineChars="100"/>
              <w:jc w:val="both"/>
              <w:rPr>
                <w:rFonts w:ascii="仿宋_GB2312" w:eastAsia="仿宋_GB2312"/>
                <w:color w:val="auto"/>
                <w:lang w:val="zh-CN"/>
              </w:rPr>
            </w:pPr>
            <w:r>
              <w:rPr>
                <w:rFonts w:hint="eastAsia" w:ascii="仿宋_GB2312" w:eastAsia="仿宋_GB2312"/>
                <w:color w:val="auto"/>
                <w:lang w:val="zh-CN"/>
              </w:rPr>
              <w:t>纸质版投标文件正本和副本的封面上均应标明：采购项目名称、采购项目编号、投标人名称、年月日；并分别在右上角标明“正本”和“副本”字样。</w:t>
            </w:r>
          </w:p>
          <w:p>
            <w:pPr>
              <w:pStyle w:val="56"/>
              <w:spacing w:line="440" w:lineRule="exact"/>
              <w:ind w:firstLine="240" w:firstLineChars="100"/>
              <w:jc w:val="both"/>
              <w:rPr>
                <w:rFonts w:ascii="仿宋_GB2312" w:eastAsia="仿宋_GB2312"/>
                <w:color w:val="auto"/>
                <w:lang w:val="zh-CN"/>
              </w:rPr>
            </w:pPr>
            <w:r>
              <w:rPr>
                <w:rFonts w:hint="eastAsia" w:ascii="仿宋_GB2312" w:eastAsia="仿宋_GB2312"/>
                <w:color w:val="auto"/>
                <w:lang w:val="zh-CN"/>
              </w:rPr>
              <w:t>纸质版投标文件若需分册装订的，各册投标文件封面标记应符合上述要求，同时还应清楚标明“上册或下册”或“共</w:t>
            </w:r>
            <w:r>
              <w:rPr>
                <w:rFonts w:hint="eastAsia" w:ascii="仿宋_GB2312" w:eastAsia="仿宋_GB2312"/>
                <w:color w:val="auto"/>
                <w:u w:val="single"/>
                <w:lang w:val="zh-CN"/>
              </w:rPr>
              <w:t xml:space="preserve">  </w:t>
            </w:r>
            <w:r>
              <w:rPr>
                <w:rFonts w:hint="eastAsia" w:ascii="仿宋_GB2312" w:eastAsia="仿宋_GB2312"/>
                <w:color w:val="auto"/>
                <w:lang w:val="zh-CN"/>
              </w:rPr>
              <w:t>册第</w:t>
            </w:r>
            <w:r>
              <w:rPr>
                <w:rFonts w:hint="eastAsia" w:ascii="仿宋_GB2312" w:eastAsia="仿宋_GB2312"/>
                <w:color w:val="auto"/>
                <w:u w:val="single"/>
                <w:lang w:val="zh-CN"/>
              </w:rPr>
              <w:t xml:space="preserve">  </w:t>
            </w:r>
            <w:r>
              <w:rPr>
                <w:rFonts w:hint="eastAsia" w:ascii="仿宋_GB2312" w:eastAsia="仿宋_GB2312"/>
                <w:color w:val="auto"/>
                <w:lang w:val="zh-CN"/>
              </w:rPr>
              <w:t>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72"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Arial"/>
                <w:color w:val="auto"/>
                <w:lang w:val="zh-CN"/>
              </w:rPr>
            </w:pPr>
            <w:r>
              <w:rPr>
                <w:rFonts w:hint="eastAsia" w:ascii="仿宋_GB2312" w:eastAsia="仿宋_GB2312" w:cs="Courier New"/>
                <w:color w:val="auto"/>
                <w:lang w:val="zh-CN"/>
              </w:rPr>
              <w:t>28</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投标文件的密封</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380" w:lineRule="exact"/>
              <w:ind w:firstLine="240" w:firstLineChars="100"/>
              <w:jc w:val="both"/>
              <w:rPr>
                <w:rFonts w:ascii="仿宋_GB2312" w:eastAsia="仿宋_GB2312"/>
                <w:color w:val="auto"/>
                <w:lang w:val="zh-CN"/>
              </w:rPr>
            </w:pPr>
            <w:r>
              <w:rPr>
                <w:rFonts w:hint="eastAsia" w:ascii="仿宋_GB2312" w:eastAsia="仿宋_GB2312"/>
                <w:color w:val="auto"/>
                <w:lang w:val="zh-CN"/>
              </w:rPr>
              <w:t>投标人应将纸质版投标文件、电子版投标文件分别单独密封包装，纸质版投标文件的正本、副本可以包装在一个封袋中，也可分别密封包装，电子版投标文件应单独密封包装。</w:t>
            </w:r>
          </w:p>
          <w:p>
            <w:pPr>
              <w:pStyle w:val="56"/>
              <w:spacing w:line="380" w:lineRule="exact"/>
              <w:ind w:firstLine="240" w:firstLineChars="100"/>
              <w:rPr>
                <w:rFonts w:ascii="仿宋_GB2312" w:eastAsia="仿宋_GB2312"/>
                <w:color w:val="auto"/>
                <w:lang w:val="zh-CN"/>
              </w:rPr>
            </w:pPr>
            <w:r>
              <w:rPr>
                <w:rFonts w:hint="eastAsia" w:ascii="仿宋_GB2312" w:eastAsia="仿宋_GB2312"/>
                <w:color w:val="auto"/>
                <w:lang w:val="zh-CN"/>
              </w:rPr>
              <w:t>要求所有外层密封袋的封口骑缝处（无论顶部、底部、侧边），均应加贴封条密封，封口及封条应粘贴牢固，并在密封袋封口骑缝处加盖投标人公章或法定代表人印鉴或签字或其委托代理人印鉴或签字（即：可以是加盖公章，也可以是法定代表人或其委托代理人印鉴或签字）</w:t>
            </w:r>
          </w:p>
          <w:p>
            <w:pPr>
              <w:pStyle w:val="56"/>
              <w:spacing w:line="440" w:lineRule="exact"/>
              <w:ind w:firstLine="240" w:firstLineChars="100"/>
              <w:jc w:val="both"/>
              <w:rPr>
                <w:rFonts w:ascii="仿宋_GB2312" w:eastAsia="仿宋_GB2312"/>
                <w:color w:val="auto"/>
                <w:lang w:val="zh-CN"/>
              </w:rPr>
            </w:pPr>
            <w:r>
              <w:rPr>
                <w:rFonts w:hint="eastAsia" w:ascii="仿宋_GB2312" w:eastAsia="仿宋_GB2312"/>
                <w:color w:val="auto"/>
                <w:lang w:val="zh-CN"/>
              </w:rPr>
              <w:t>如果所递交的投标文件未按上述要求密封，其投标文件将被拒绝接收。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72"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29</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封套上应载明的信息</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firstLine="240" w:firstLineChars="100"/>
              <w:jc w:val="both"/>
              <w:rPr>
                <w:rFonts w:ascii="仿宋_GB2312" w:eastAsia="仿宋_GB2312"/>
                <w:color w:val="auto"/>
                <w:lang w:val="zh-CN"/>
              </w:rPr>
            </w:pPr>
            <w:r>
              <w:rPr>
                <w:rFonts w:hint="eastAsia" w:ascii="仿宋_GB2312" w:eastAsia="仿宋_GB2312"/>
                <w:color w:val="auto"/>
                <w:lang w:val="zh-CN"/>
              </w:rPr>
              <w:t>采购项目名称：</w:t>
            </w:r>
          </w:p>
          <w:p>
            <w:pPr>
              <w:pStyle w:val="56"/>
              <w:spacing w:line="440" w:lineRule="exact"/>
              <w:ind w:firstLine="240" w:firstLineChars="100"/>
              <w:jc w:val="both"/>
              <w:rPr>
                <w:rFonts w:ascii="仿宋_GB2312" w:eastAsia="仿宋_GB2312"/>
                <w:color w:val="auto"/>
                <w:lang w:val="zh-CN"/>
              </w:rPr>
            </w:pPr>
            <w:r>
              <w:rPr>
                <w:rFonts w:hint="eastAsia" w:ascii="仿宋_GB2312" w:eastAsia="仿宋_GB2312"/>
                <w:color w:val="auto"/>
                <w:lang w:val="zh-CN"/>
              </w:rPr>
              <w:t>采购项目编号：</w:t>
            </w:r>
          </w:p>
          <w:p>
            <w:pPr>
              <w:pStyle w:val="56"/>
              <w:spacing w:line="440" w:lineRule="exact"/>
              <w:ind w:firstLine="240" w:firstLineChars="100"/>
              <w:jc w:val="both"/>
              <w:rPr>
                <w:rFonts w:ascii="仿宋_GB2312" w:eastAsia="仿宋_GB2312"/>
                <w:color w:val="auto"/>
                <w:lang w:val="zh-CN"/>
              </w:rPr>
            </w:pPr>
            <w:r>
              <w:rPr>
                <w:rFonts w:hint="eastAsia" w:ascii="仿宋_GB2312" w:eastAsia="仿宋_GB2312"/>
                <w:color w:val="auto"/>
                <w:lang w:val="zh-CN"/>
              </w:rPr>
              <w:t>纸质版投标文件或电子版投标文件</w:t>
            </w:r>
          </w:p>
          <w:p>
            <w:pPr>
              <w:pStyle w:val="56"/>
              <w:spacing w:line="440" w:lineRule="exact"/>
              <w:ind w:firstLine="240" w:firstLineChars="100"/>
              <w:jc w:val="both"/>
              <w:rPr>
                <w:rFonts w:ascii="仿宋_GB2312" w:eastAsia="仿宋_GB2312"/>
                <w:color w:val="auto"/>
                <w:lang w:val="zh-CN"/>
              </w:rPr>
            </w:pPr>
            <w:r>
              <w:rPr>
                <w:rFonts w:hint="eastAsia" w:ascii="仿宋_GB2312" w:eastAsia="仿宋_GB2312"/>
                <w:color w:val="auto"/>
                <w:lang w:val="zh-CN"/>
              </w:rPr>
              <w:t>投标人名称：</w:t>
            </w:r>
          </w:p>
          <w:p>
            <w:pPr>
              <w:pStyle w:val="56"/>
              <w:spacing w:line="440" w:lineRule="exact"/>
              <w:ind w:firstLine="240" w:firstLineChars="100"/>
              <w:jc w:val="both"/>
              <w:rPr>
                <w:rFonts w:ascii="仿宋_GB2312" w:eastAsia="仿宋_GB2312"/>
                <w:color w:val="auto"/>
                <w:lang w:val="zh-CN"/>
              </w:rPr>
            </w:pPr>
            <w:r>
              <w:rPr>
                <w:rFonts w:hint="eastAsia" w:ascii="仿宋_GB2312" w:eastAsia="仿宋_GB2312"/>
                <w:color w:val="auto"/>
                <w:lang w:val="zh-CN"/>
              </w:rPr>
              <w:t>在    年  月  日  时  分前不得开启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0"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30</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ind w:left="352"/>
              <w:rPr>
                <w:rFonts w:ascii="仿宋_GB2312" w:eastAsia="仿宋_GB2312"/>
                <w:color w:val="auto"/>
                <w:lang w:val="zh-CN"/>
              </w:rPr>
            </w:pPr>
            <w:r>
              <w:rPr>
                <w:rFonts w:hint="eastAsia" w:ascii="仿宋_GB2312" w:eastAsia="仿宋_GB2312"/>
                <w:color w:val="auto"/>
                <w:lang w:val="zh-CN"/>
              </w:rPr>
              <w:t>投标截至时间</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firstLine="240" w:firstLineChars="100"/>
              <w:rPr>
                <w:rFonts w:ascii="仿宋_GB2312" w:eastAsia="仿宋_GB2312"/>
                <w:color w:val="auto"/>
              </w:rPr>
            </w:pPr>
            <w:r>
              <w:rPr>
                <w:rFonts w:hint="eastAsia" w:ascii="仿宋_GB2312" w:eastAsia="仿宋_GB2312"/>
                <w:color w:val="auto"/>
                <w:lang w:val="zh-CN"/>
              </w:rPr>
              <w:t>详见本项目招标公告，以本项目招标公告规定时间为准。若有变更请以变更公告为准。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07"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31</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ind w:left="352"/>
              <w:rPr>
                <w:rFonts w:ascii="仿宋_GB2312" w:eastAsia="仿宋_GB2312"/>
                <w:color w:val="auto"/>
                <w:lang w:val="zh-CN"/>
              </w:rPr>
            </w:pPr>
            <w:r>
              <w:rPr>
                <w:rFonts w:hint="eastAsia" w:ascii="仿宋_GB2312" w:eastAsia="仿宋_GB2312"/>
                <w:color w:val="auto"/>
                <w:lang w:val="zh-CN"/>
              </w:rPr>
              <w:t>递交投标文件地点</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rPr>
                <w:rFonts w:ascii="仿宋_GB2312" w:eastAsia="仿宋_GB2312"/>
                <w:color w:val="auto"/>
                <w:lang w:val="zh-CN"/>
              </w:rPr>
            </w:pPr>
            <w:r>
              <w:rPr>
                <w:rFonts w:hint="eastAsia" w:ascii="仿宋_GB2312" w:eastAsia="仿宋_GB2312"/>
                <w:color w:val="auto"/>
                <w:lang w:val="zh-CN"/>
              </w:rPr>
              <w:t xml:space="preserve">  详见本项目招标公告，以本项目招标公告规定地点为准。若有变更请以变更公告为准。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4"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32</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投标文件是否退还</w:t>
            </w:r>
          </w:p>
        </w:tc>
        <w:tc>
          <w:tcPr>
            <w:tcW w:w="6804"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spacing w:line="440" w:lineRule="exact"/>
              <w:ind w:firstLine="240" w:firstLineChars="100"/>
              <w:jc w:val="left"/>
              <w:rPr>
                <w:rFonts w:ascii="仿宋_GB2312" w:hAnsi="宋体" w:eastAsia="仿宋_GB2312"/>
                <w:color w:val="auto"/>
                <w:sz w:val="24"/>
              </w:rPr>
            </w:pPr>
            <w:r>
              <w:rPr>
                <w:rFonts w:hint="eastAsia" w:ascii="仿宋_GB2312" w:hAnsi="宋体" w:eastAsia="仿宋_GB2312"/>
                <w:color w:val="auto"/>
                <w:sz w:val="24"/>
              </w:rPr>
              <w:t>所有投标文件一经递交，一律不予退还。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0"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Arial"/>
                <w:color w:val="auto"/>
                <w:lang w:val="zh-CN"/>
              </w:rPr>
            </w:pPr>
            <w:r>
              <w:rPr>
                <w:rFonts w:hint="eastAsia" w:ascii="仿宋_GB2312" w:eastAsia="仿宋_GB2312" w:cs="Courier New"/>
                <w:color w:val="auto"/>
                <w:lang w:val="zh-CN"/>
              </w:rPr>
              <w:t>33</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jc w:val="center"/>
              <w:rPr>
                <w:rFonts w:ascii="仿宋_GB2312" w:eastAsia="仿宋_GB2312" w:cs="Arial"/>
                <w:color w:val="auto"/>
                <w:lang w:val="zh-CN"/>
              </w:rPr>
            </w:pPr>
            <w:r>
              <w:rPr>
                <w:rFonts w:hint="eastAsia" w:ascii="仿宋_GB2312" w:eastAsia="仿宋_GB2312"/>
                <w:color w:val="auto"/>
                <w:lang w:val="zh-CN"/>
              </w:rPr>
              <w:t>开标时间和地点</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left="694" w:leftChars="102" w:hanging="480" w:hangingChars="200"/>
              <w:rPr>
                <w:rFonts w:ascii="仿宋_GB2312" w:eastAsia="仿宋_GB2312"/>
                <w:color w:val="auto"/>
                <w:lang w:val="zh-CN"/>
              </w:rPr>
            </w:pPr>
            <w:r>
              <w:rPr>
                <w:rFonts w:hint="eastAsia" w:ascii="仿宋_GB2312" w:eastAsia="仿宋_GB2312"/>
                <w:color w:val="auto"/>
                <w:lang w:val="zh-CN"/>
              </w:rPr>
              <w:t>开标时间：同投标截止时间</w:t>
            </w:r>
          </w:p>
          <w:p>
            <w:pPr>
              <w:pStyle w:val="56"/>
              <w:spacing w:line="440" w:lineRule="exact"/>
              <w:ind w:left="694" w:leftChars="102" w:hanging="480" w:hangingChars="200"/>
              <w:rPr>
                <w:rFonts w:ascii="仿宋_GB2312" w:eastAsia="仿宋_GB2312"/>
                <w:color w:val="auto"/>
                <w:lang w:val="zh-CN"/>
              </w:rPr>
            </w:pPr>
            <w:r>
              <w:rPr>
                <w:rFonts w:hint="eastAsia" w:ascii="仿宋_GB2312" w:eastAsia="仿宋_GB2312"/>
                <w:color w:val="auto"/>
                <w:lang w:val="zh-CN"/>
              </w:rPr>
              <w:t>开标地点：同递交投标文件地点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1"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34</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开标程序</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firstLine="240" w:firstLineChars="100"/>
              <w:rPr>
                <w:rFonts w:ascii="仿宋_GB2312" w:eastAsia="仿宋_GB2312"/>
                <w:color w:val="auto"/>
              </w:rPr>
            </w:pPr>
            <w:r>
              <w:rPr>
                <w:rFonts w:hint="eastAsia" w:ascii="仿宋_GB2312" w:eastAsia="仿宋_GB2312"/>
                <w:color w:val="auto"/>
              </w:rPr>
              <w:t>任意顺序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2"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35</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ind w:left="96"/>
              <w:jc w:val="center"/>
              <w:rPr>
                <w:rFonts w:ascii="仿宋_GB2312" w:eastAsia="仿宋_GB2312"/>
                <w:color w:val="auto"/>
                <w:lang w:val="zh-CN"/>
              </w:rPr>
            </w:pPr>
            <w:r>
              <w:rPr>
                <w:rFonts w:hint="eastAsia" w:ascii="仿宋_GB2312" w:eastAsia="仿宋_GB2312"/>
                <w:color w:val="auto"/>
                <w:lang w:val="zh-CN"/>
              </w:rPr>
              <w:t>评标委员会的组建</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left="694" w:leftChars="102" w:hanging="480" w:hangingChars="200"/>
              <w:rPr>
                <w:rFonts w:ascii="仿宋_GB2312" w:eastAsia="仿宋_GB2312"/>
                <w:color w:val="auto"/>
                <w:lang w:val="zh-CN"/>
              </w:rPr>
            </w:pPr>
            <w:r>
              <w:rPr>
                <w:rFonts w:hint="eastAsia" w:ascii="仿宋_GB2312" w:eastAsia="仿宋_GB2312"/>
                <w:color w:val="auto"/>
                <w:lang w:val="zh-CN"/>
              </w:rPr>
              <w:t>评标委员会构成形式、人数，评标专家确定方式：</w:t>
            </w:r>
          </w:p>
          <w:p>
            <w:pPr>
              <w:pStyle w:val="56"/>
              <w:spacing w:line="440" w:lineRule="exact"/>
              <w:ind w:left="694" w:leftChars="102" w:hanging="480" w:hangingChars="200"/>
              <w:rPr>
                <w:rFonts w:ascii="仿宋_GB2312" w:eastAsia="仿宋_GB2312"/>
                <w:color w:val="auto"/>
                <w:lang w:val="zh-CN"/>
              </w:rPr>
            </w:pPr>
            <w:r>
              <w:rPr>
                <w:rFonts w:hint="eastAsia" w:ascii="仿宋_GB2312" w:eastAsia="仿宋_GB2312"/>
                <w:color w:val="auto"/>
                <w:lang w:val="zh-CN"/>
              </w:rPr>
              <w:t>详见投标人须知第8.1.1条款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5"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36</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ind w:left="96"/>
              <w:jc w:val="center"/>
              <w:rPr>
                <w:rFonts w:ascii="仿宋_GB2312" w:eastAsia="仿宋_GB2312"/>
                <w:color w:val="auto"/>
                <w:lang w:val="zh-CN"/>
              </w:rPr>
            </w:pPr>
            <w:r>
              <w:rPr>
                <w:rFonts w:hint="eastAsia" w:ascii="仿宋_GB2312" w:eastAsia="仿宋_GB2312"/>
                <w:color w:val="auto"/>
                <w:lang w:val="zh-CN"/>
              </w:rPr>
              <w:t>评标方法及标准</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left="694" w:leftChars="102" w:hanging="480" w:hangingChars="200"/>
              <w:rPr>
                <w:rFonts w:ascii="仿宋_GB2312" w:eastAsia="仿宋_GB2312"/>
                <w:color w:val="auto"/>
                <w:lang w:val="zh-CN"/>
              </w:rPr>
            </w:pPr>
            <w:r>
              <w:rPr>
                <w:rFonts w:hint="eastAsia" w:ascii="仿宋_GB2312" w:eastAsia="仿宋_GB2312"/>
                <w:color w:val="auto"/>
                <w:lang w:val="zh-CN"/>
              </w:rPr>
              <w:t>详见第三章评标方法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5"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37</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ind w:left="96"/>
              <w:jc w:val="center"/>
              <w:rPr>
                <w:rFonts w:ascii="仿宋_GB2312" w:eastAsia="仿宋_GB2312"/>
                <w:color w:val="auto"/>
                <w:lang w:val="zh-CN"/>
              </w:rPr>
            </w:pPr>
            <w:r>
              <w:rPr>
                <w:rFonts w:hint="eastAsia" w:ascii="仿宋_GB2312" w:eastAsia="仿宋_GB2312"/>
                <w:color w:val="auto"/>
                <w:lang w:val="zh-CN"/>
              </w:rPr>
              <w:t>评标委员会推荐</w:t>
            </w:r>
          </w:p>
          <w:p>
            <w:pPr>
              <w:pStyle w:val="56"/>
              <w:spacing w:line="440" w:lineRule="exact"/>
              <w:ind w:left="96"/>
              <w:jc w:val="center"/>
              <w:rPr>
                <w:rFonts w:ascii="仿宋_GB2312" w:eastAsia="仿宋_GB2312"/>
                <w:color w:val="auto"/>
                <w:lang w:val="zh-CN"/>
              </w:rPr>
            </w:pPr>
            <w:r>
              <w:rPr>
                <w:rFonts w:hint="eastAsia" w:ascii="仿宋_GB2312" w:eastAsia="仿宋_GB2312"/>
                <w:color w:val="auto"/>
                <w:lang w:val="zh-CN"/>
              </w:rPr>
              <w:t>中标候选人的人数</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rPr>
                <w:rFonts w:ascii="仿宋_GB2312" w:eastAsia="仿宋_GB2312"/>
                <w:color w:val="auto"/>
                <w:lang w:val="zh-CN"/>
              </w:rPr>
            </w:pPr>
            <w:r>
              <w:rPr>
                <w:rFonts w:hint="eastAsia" w:ascii="仿宋_GB2312" w:eastAsia="仿宋_GB2312"/>
                <w:color w:val="auto"/>
                <w:lang w:val="zh-CN"/>
              </w:rPr>
              <w:t xml:space="preserve">  3人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7"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38</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ind w:left="96"/>
              <w:jc w:val="center"/>
              <w:rPr>
                <w:rFonts w:ascii="仿宋_GB2312" w:eastAsia="仿宋_GB2312"/>
                <w:color w:val="auto"/>
                <w:lang w:val="zh-CN"/>
              </w:rPr>
            </w:pPr>
            <w:r>
              <w:rPr>
                <w:rFonts w:hint="eastAsia" w:ascii="仿宋_GB2312" w:eastAsia="仿宋_GB2312"/>
                <w:color w:val="auto"/>
                <w:lang w:val="zh-CN"/>
              </w:rPr>
              <w:t>是否授权评标委员会确定中标人</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firstLine="240" w:firstLineChars="100"/>
              <w:rPr>
                <w:rFonts w:ascii="仿宋_GB2312" w:eastAsia="仿宋_GB2312"/>
                <w:color w:val="auto"/>
              </w:rPr>
            </w:pPr>
            <w:r>
              <w:rPr>
                <w:rFonts w:hint="eastAsia" w:ascii="仿宋_GB2312" w:eastAsia="仿宋_GB2312"/>
                <w:color w:val="auto"/>
              </w:rPr>
              <w:sym w:font="Wingdings 2" w:char="F052"/>
            </w:r>
            <w:r>
              <w:rPr>
                <w:rFonts w:hint="eastAsia" w:ascii="仿宋_GB2312" w:eastAsia="仿宋_GB2312"/>
                <w:color w:val="auto"/>
              </w:rPr>
              <w:t>否</w:t>
            </w:r>
          </w:p>
          <w:p>
            <w:pPr>
              <w:pStyle w:val="56"/>
              <w:spacing w:line="440" w:lineRule="exact"/>
              <w:ind w:firstLine="240" w:firstLineChars="100"/>
              <w:rPr>
                <w:rFonts w:ascii="仿宋_GB2312" w:eastAsia="仿宋_GB2312"/>
                <w:color w:val="auto"/>
                <w:lang w:val="zh-CN"/>
              </w:rPr>
            </w:pPr>
            <w:r>
              <w:rPr>
                <w:rFonts w:hint="eastAsia" w:ascii="仿宋_GB2312" w:eastAsia="仿宋_GB2312"/>
                <w:color w:val="auto"/>
              </w:rPr>
              <w:t>□是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61"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39</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ind w:left="96"/>
              <w:jc w:val="center"/>
              <w:rPr>
                <w:rFonts w:ascii="仿宋_GB2312" w:eastAsia="仿宋_GB2312"/>
                <w:color w:val="auto"/>
                <w:lang w:val="zh-CN"/>
              </w:rPr>
            </w:pPr>
            <w:r>
              <w:rPr>
                <w:rFonts w:hint="eastAsia" w:ascii="仿宋_GB2312" w:eastAsia="仿宋_GB2312"/>
                <w:color w:val="auto"/>
                <w:lang w:val="zh-CN"/>
              </w:rPr>
              <w:t>中标公告的时间、</w:t>
            </w:r>
          </w:p>
          <w:p>
            <w:pPr>
              <w:pStyle w:val="56"/>
              <w:spacing w:line="440" w:lineRule="exact"/>
              <w:ind w:left="96"/>
              <w:jc w:val="center"/>
              <w:rPr>
                <w:rFonts w:ascii="仿宋_GB2312" w:eastAsia="仿宋_GB2312"/>
                <w:color w:val="auto"/>
                <w:lang w:val="zh-CN"/>
              </w:rPr>
            </w:pPr>
            <w:r>
              <w:rPr>
                <w:rFonts w:hint="eastAsia" w:ascii="仿宋_GB2312" w:eastAsia="仿宋_GB2312"/>
                <w:color w:val="auto"/>
                <w:lang w:val="zh-CN"/>
              </w:rPr>
              <w:t>媒介和期限</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left="210"/>
              <w:rPr>
                <w:rFonts w:ascii="仿宋_GB2312" w:eastAsia="仿宋_GB2312"/>
                <w:color w:val="auto"/>
                <w:lang w:val="zh-CN"/>
              </w:rPr>
            </w:pPr>
            <w:r>
              <w:rPr>
                <w:rFonts w:hint="eastAsia" w:ascii="仿宋_GB2312" w:eastAsia="仿宋_GB2312"/>
                <w:color w:val="auto"/>
                <w:lang w:val="zh-CN"/>
              </w:rPr>
              <w:t>公告时间：在确定中标人之日起1个工作日内</w:t>
            </w:r>
          </w:p>
          <w:p>
            <w:pPr>
              <w:pStyle w:val="56"/>
              <w:spacing w:line="440" w:lineRule="exact"/>
              <w:ind w:left="210"/>
              <w:rPr>
                <w:rFonts w:ascii="仿宋_GB2312" w:eastAsia="仿宋_GB2312"/>
                <w:color w:val="auto"/>
                <w:lang w:val="zh-CN"/>
              </w:rPr>
            </w:pPr>
            <w:r>
              <w:rPr>
                <w:rFonts w:hint="eastAsia" w:ascii="仿宋_GB2312" w:eastAsia="仿宋_GB2312"/>
                <w:color w:val="auto"/>
                <w:lang w:val="zh-CN"/>
              </w:rPr>
              <w:t>公告媒介：陕西省政府采购网</w:t>
            </w:r>
          </w:p>
          <w:p>
            <w:pPr>
              <w:pStyle w:val="56"/>
              <w:spacing w:line="440" w:lineRule="exact"/>
              <w:ind w:left="210"/>
              <w:rPr>
                <w:rFonts w:ascii="仿宋_GB2312" w:eastAsia="仿宋_GB2312"/>
                <w:color w:val="auto"/>
                <w:lang w:val="zh-CN"/>
              </w:rPr>
            </w:pPr>
            <w:r>
              <w:rPr>
                <w:rFonts w:hint="eastAsia" w:ascii="仿宋_GB2312" w:eastAsia="仿宋_GB2312"/>
                <w:color w:val="auto"/>
                <w:lang w:val="zh-CN"/>
              </w:rPr>
              <w:t>公告期限：1个工作日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87"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40</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ind w:left="96"/>
              <w:jc w:val="center"/>
              <w:rPr>
                <w:rFonts w:ascii="仿宋_GB2312" w:eastAsia="仿宋_GB2312"/>
                <w:color w:val="auto"/>
                <w:lang w:val="zh-CN"/>
              </w:rPr>
            </w:pPr>
            <w:r>
              <w:rPr>
                <w:rFonts w:hint="eastAsia" w:ascii="仿宋_GB2312" w:eastAsia="仿宋_GB2312"/>
                <w:color w:val="auto"/>
                <w:lang w:val="zh-CN"/>
              </w:rPr>
              <w:t>履约保证金</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left="694" w:leftChars="102" w:hanging="480" w:hangingChars="200"/>
              <w:rPr>
                <w:rFonts w:ascii="仿宋_GB2312" w:eastAsia="仿宋_GB2312"/>
                <w:color w:val="auto"/>
                <w:lang w:val="zh-CN"/>
              </w:rPr>
            </w:pPr>
            <w:r>
              <w:rPr>
                <w:rFonts w:hint="eastAsia" w:ascii="仿宋_GB2312" w:eastAsia="仿宋_GB2312"/>
                <w:color w:val="auto"/>
                <w:lang w:val="zh-CN"/>
              </w:rPr>
              <w:t>本项目不要求中标人提交履约保证金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3"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41</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投标人信用信息</w:t>
            </w:r>
          </w:p>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查询截至时点</w:t>
            </w:r>
          </w:p>
        </w:tc>
        <w:tc>
          <w:tcPr>
            <w:tcW w:w="6804" w:type="dxa"/>
            <w:tcBorders>
              <w:top w:val="single" w:color="auto" w:sz="8" w:space="0"/>
              <w:left w:val="single" w:color="auto" w:sz="8" w:space="0"/>
              <w:bottom w:val="single" w:color="auto" w:sz="8" w:space="0"/>
              <w:right w:val="single" w:color="auto" w:sz="18" w:space="0"/>
            </w:tcBorders>
            <w:vAlign w:val="center"/>
          </w:tcPr>
          <w:p>
            <w:pPr>
              <w:spacing w:line="440" w:lineRule="exact"/>
              <w:ind w:left="210" w:right="105" w:rightChars="50"/>
              <w:rPr>
                <w:rFonts w:ascii="仿宋_GB2312" w:hAnsi="宋体" w:eastAsia="仿宋_GB2312"/>
                <w:color w:val="auto"/>
                <w:sz w:val="24"/>
              </w:rPr>
            </w:pPr>
            <w:r>
              <w:rPr>
                <w:rFonts w:hint="eastAsia" w:ascii="仿宋_GB2312" w:hAnsi="宋体" w:eastAsia="仿宋_GB2312"/>
                <w:color w:val="auto"/>
                <w:sz w:val="24"/>
              </w:rPr>
              <w:t>招标公告期限截止日至投标截止时间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20"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Arial"/>
                <w:color w:val="auto"/>
                <w:lang w:val="zh-CN"/>
              </w:rPr>
            </w:pPr>
            <w:r>
              <w:rPr>
                <w:rFonts w:hint="eastAsia" w:ascii="仿宋_GB2312" w:eastAsia="仿宋_GB2312" w:cs="Courier New"/>
                <w:color w:val="auto"/>
                <w:lang w:val="zh-CN"/>
              </w:rPr>
              <w:t>42</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资格审查时</w:t>
            </w:r>
          </w:p>
          <w:p>
            <w:pPr>
              <w:pStyle w:val="56"/>
              <w:spacing w:line="440" w:lineRule="exact"/>
              <w:jc w:val="center"/>
              <w:rPr>
                <w:rFonts w:ascii="仿宋_GB2312" w:eastAsia="仿宋_GB2312" w:cs="Arial"/>
                <w:color w:val="auto"/>
                <w:lang w:val="zh-CN"/>
              </w:rPr>
            </w:pPr>
            <w:r>
              <w:rPr>
                <w:rFonts w:hint="eastAsia" w:ascii="仿宋_GB2312" w:eastAsia="仿宋_GB2312"/>
                <w:color w:val="auto"/>
                <w:lang w:val="zh-CN"/>
              </w:rPr>
              <w:t>是否核验证件</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4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（1）法定代表人直接参加投标的，须提供法定代表人身份证明(提供法定代表人有效身份证原件备查）；法定代表人授权代表参加投标的，须提供法定代表人授权委托书(提供委托代理人有效身份证原件备查）</w:t>
            </w:r>
          </w:p>
          <w:p>
            <w:pPr>
              <w:pStyle w:val="56"/>
              <w:spacing w:line="44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（2）法定代表人身份证明、法定代表人授权委托书按本项目招标文件第六章投标文件格式要求在纸质版投标文件中提供。</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8"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43</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开标现场是否</w:t>
            </w:r>
          </w:p>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演示与述标</w:t>
            </w:r>
          </w:p>
        </w:tc>
        <w:tc>
          <w:tcPr>
            <w:tcW w:w="6804" w:type="dxa"/>
            <w:tcBorders>
              <w:top w:val="single" w:color="auto" w:sz="8" w:space="0"/>
              <w:left w:val="single" w:color="auto" w:sz="8" w:space="0"/>
              <w:bottom w:val="single" w:color="auto" w:sz="8" w:space="0"/>
              <w:right w:val="single" w:color="auto" w:sz="18" w:space="0"/>
            </w:tcBorders>
            <w:vAlign w:val="center"/>
          </w:tcPr>
          <w:p>
            <w:pPr>
              <w:spacing w:line="440" w:lineRule="exact"/>
              <w:ind w:right="105" w:rightChars="50" w:firstLine="360" w:firstLineChars="150"/>
              <w:rPr>
                <w:rFonts w:ascii="仿宋_GB2312" w:hAnsi="宋体" w:eastAsia="仿宋_GB2312"/>
                <w:color w:val="auto"/>
                <w:sz w:val="24"/>
              </w:rPr>
            </w:pPr>
            <w:r>
              <w:rPr>
                <w:rFonts w:hint="eastAsia" w:ascii="仿宋_GB2312" w:hAnsi="宋体" w:eastAsia="仿宋_GB2312"/>
                <w:color w:val="auto"/>
                <w:sz w:val="24"/>
              </w:rPr>
              <w:sym w:font="Wingdings 2" w:char="F052"/>
            </w:r>
            <w:r>
              <w:rPr>
                <w:rFonts w:hint="eastAsia" w:ascii="仿宋_GB2312" w:hAnsi="宋体" w:eastAsia="仿宋_GB2312"/>
                <w:color w:val="auto"/>
                <w:sz w:val="24"/>
              </w:rPr>
              <w:t>不需要；</w:t>
            </w:r>
          </w:p>
          <w:p>
            <w:pPr>
              <w:spacing w:line="440" w:lineRule="exact"/>
              <w:ind w:right="105" w:rightChars="50" w:firstLine="360" w:firstLineChars="150"/>
              <w:rPr>
                <w:rFonts w:ascii="仿宋_GB2312" w:hAnsi="宋体" w:eastAsia="仿宋_GB2312"/>
                <w:color w:val="auto"/>
                <w:sz w:val="24"/>
              </w:rPr>
            </w:pPr>
            <w:r>
              <w:rPr>
                <w:rFonts w:hint="eastAsia" w:ascii="仿宋_GB2312" w:hAnsi="宋体" w:eastAsia="仿宋_GB2312"/>
                <w:color w:val="auto"/>
                <w:sz w:val="24"/>
              </w:rPr>
              <w:t>□需要，演示与述标要求：/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44</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开标现场是否</w:t>
            </w:r>
          </w:p>
          <w:p>
            <w:pPr>
              <w:pStyle w:val="56"/>
              <w:spacing w:line="440" w:lineRule="exact"/>
              <w:jc w:val="center"/>
              <w:rPr>
                <w:rFonts w:ascii="仿宋_GB2312" w:eastAsia="仿宋_GB2312"/>
                <w:color w:val="auto"/>
                <w:lang w:val="zh-CN"/>
              </w:rPr>
            </w:pPr>
            <w:r>
              <w:rPr>
                <w:rFonts w:hint="eastAsia" w:ascii="仿宋_GB2312" w:eastAsia="仿宋_GB2312"/>
                <w:color w:val="auto"/>
                <w:lang w:val="zh-CN"/>
              </w:rPr>
              <w:t>提供样品</w:t>
            </w:r>
          </w:p>
        </w:tc>
        <w:tc>
          <w:tcPr>
            <w:tcW w:w="6804" w:type="dxa"/>
            <w:tcBorders>
              <w:top w:val="single" w:color="auto" w:sz="8" w:space="0"/>
              <w:left w:val="single" w:color="auto" w:sz="8" w:space="0"/>
              <w:bottom w:val="single" w:color="auto" w:sz="8" w:space="0"/>
              <w:right w:val="single" w:color="auto" w:sz="18" w:space="0"/>
            </w:tcBorders>
            <w:vAlign w:val="center"/>
          </w:tcPr>
          <w:p>
            <w:pPr>
              <w:spacing w:line="440" w:lineRule="exact"/>
              <w:ind w:right="105" w:rightChars="50" w:firstLine="360" w:firstLineChars="150"/>
              <w:rPr>
                <w:rFonts w:ascii="仿宋_GB2312" w:hAnsi="宋体" w:eastAsia="仿宋_GB2312"/>
                <w:color w:val="auto"/>
                <w:sz w:val="24"/>
              </w:rPr>
            </w:pPr>
            <w:r>
              <w:rPr>
                <w:rFonts w:hint="eastAsia" w:ascii="仿宋_GB2312" w:hAnsi="宋体" w:eastAsia="仿宋_GB2312"/>
                <w:color w:val="auto"/>
                <w:sz w:val="24"/>
              </w:rPr>
              <w:sym w:font="Wingdings 2" w:char="F052"/>
            </w:r>
            <w:r>
              <w:rPr>
                <w:rFonts w:hint="eastAsia" w:ascii="仿宋_GB2312" w:hAnsi="宋体" w:eastAsia="仿宋_GB2312"/>
                <w:color w:val="auto"/>
                <w:sz w:val="24"/>
              </w:rPr>
              <w:t>不需要</w:t>
            </w:r>
          </w:p>
          <w:p>
            <w:pPr>
              <w:spacing w:line="440" w:lineRule="exact"/>
              <w:ind w:right="105" w:rightChars="50" w:firstLine="360" w:firstLineChars="150"/>
              <w:rPr>
                <w:rFonts w:ascii="仿宋_GB2312" w:hAnsi="宋体" w:eastAsia="仿宋_GB2312"/>
                <w:color w:val="auto"/>
                <w:sz w:val="24"/>
              </w:rPr>
            </w:pPr>
            <w:r>
              <w:rPr>
                <w:rFonts w:hint="eastAsia" w:ascii="仿宋_GB2312" w:hAnsi="宋体" w:eastAsia="仿宋_GB2312"/>
                <w:color w:val="auto"/>
                <w:sz w:val="24"/>
              </w:rPr>
              <w:t>□ 需要，样品要求：/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893"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45</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spacing w:line="380" w:lineRule="exact"/>
              <w:jc w:val="center"/>
              <w:rPr>
                <w:rFonts w:ascii="仿宋_GB2312" w:eastAsia="仿宋_GB2312"/>
                <w:color w:val="auto"/>
                <w:lang w:val="zh-CN"/>
              </w:rPr>
            </w:pPr>
            <w:r>
              <w:rPr>
                <w:rFonts w:hint="eastAsia" w:ascii="仿宋_GB2312" w:eastAsia="仿宋_GB2312"/>
                <w:color w:val="auto"/>
                <w:lang w:val="zh-CN"/>
              </w:rPr>
              <w:t>采购代理服务费</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采购代理服务费由中标单位在办理中标通知书手续之前向采购代理机构缴纳。</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采购代理服务费：按照国家计委[2002]1980号文件规定的货物类标准以采购预算金额为计费基础计算收取。</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开户名称：陕西华兴工程咨询有限公司</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开户银行：西安银行城西支行</w:t>
            </w:r>
          </w:p>
          <w:p>
            <w:pPr>
              <w:pStyle w:val="56"/>
              <w:spacing w:line="420" w:lineRule="exact"/>
              <w:ind w:left="105" w:leftChars="50" w:right="105" w:rightChars="50" w:firstLine="240" w:firstLineChars="100"/>
              <w:rPr>
                <w:rFonts w:ascii="仿宋_GB2312" w:eastAsia="仿宋_GB2312"/>
                <w:color w:val="auto"/>
                <w:lang w:val="zh-CN"/>
              </w:rPr>
            </w:pPr>
            <w:r>
              <w:rPr>
                <w:rFonts w:hint="eastAsia" w:ascii="仿宋_GB2312" w:eastAsia="仿宋_GB2312"/>
                <w:color w:val="auto"/>
                <w:kern w:val="2"/>
              </w:rPr>
              <w:t>账 号：6010 1158 0000 223299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8"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46</w:t>
            </w:r>
          </w:p>
        </w:tc>
        <w:tc>
          <w:tcPr>
            <w:tcW w:w="2363" w:type="dxa"/>
            <w:tcBorders>
              <w:top w:val="single" w:color="auto" w:sz="8" w:space="0"/>
              <w:left w:val="single" w:color="auto" w:sz="8" w:space="0"/>
              <w:bottom w:val="single" w:color="auto" w:sz="8" w:space="0"/>
              <w:right w:val="single" w:color="auto" w:sz="8" w:space="0"/>
            </w:tcBorders>
            <w:vAlign w:val="center"/>
          </w:tcPr>
          <w:p>
            <w:pPr>
              <w:pStyle w:val="56"/>
              <w:rPr>
                <w:rFonts w:ascii="仿宋_GB2312" w:eastAsia="仿宋_GB2312"/>
                <w:color w:val="auto"/>
                <w:lang w:val="zh-CN"/>
              </w:rPr>
            </w:pPr>
            <w:r>
              <w:rPr>
                <w:rFonts w:hint="eastAsia" w:ascii="仿宋_GB2312" w:eastAsia="仿宋_GB2312"/>
                <w:color w:val="auto"/>
                <w:lang w:val="zh-CN"/>
              </w:rPr>
              <w:t>需落实的政府采购政策</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1、《关于在政府采购活动中查询及使用信用记录有关问题的通知》（财库〔2016〕125号）；</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2、政府采购促进中小企业发展管理办法&gt;的通知》(财库〔2020〕46号；</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3、《关于政府采购支持监狱企业发展有关问题的通知》（财库〔2014〕68号）；</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4、《关于促进残疾人就业政府采购政策的通知》（财库〔2017〕141号）；</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5、财政部、国家发展改革委《关于印发〈节能产品政府采购实施意见〉的通知》（财库〔2004〕185号）；</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6、财政部、国家环保总局联合印发《关于环境标志产品政府采购实施的意见》（财库〔2006〕90号）；</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7、国务院办公厅《关于建立政府强制采购节能产品制度的通知》（国办发〔2007〕51号）；</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8、《关于调整优化节能产品、环境标志产品政府采购执行机制的通知》（财库〔2019〕9号）；</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9、《财政部国务院扶贫办关于运用政府采购政策支持脱贫攻坚的通知》（财库〔2019〕27号）；</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10、陕西省财政厅关于印发《陕西省中小企业政府采购信用融资办法》（陕财办采〔2018〕23号）。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8"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47</w:t>
            </w:r>
          </w:p>
        </w:tc>
        <w:tc>
          <w:tcPr>
            <w:tcW w:w="2363"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仿宋_GB2312" w:eastAsia="仿宋_GB2312" w:hAnsiTheme="minorEastAsia"/>
                <w:color w:val="auto"/>
                <w:sz w:val="24"/>
              </w:rPr>
            </w:pPr>
            <w:r>
              <w:rPr>
                <w:rFonts w:hint="eastAsia" w:ascii="仿宋_GB2312" w:eastAsia="仿宋_GB2312" w:hAnsiTheme="minorEastAsia"/>
                <w:color w:val="auto"/>
                <w:sz w:val="24"/>
              </w:rPr>
              <w:t>质疑、投诉</w:t>
            </w:r>
          </w:p>
        </w:tc>
        <w:tc>
          <w:tcPr>
            <w:tcW w:w="6804" w:type="dxa"/>
            <w:tcBorders>
              <w:top w:val="single" w:color="auto" w:sz="8" w:space="0"/>
              <w:left w:val="single" w:color="auto" w:sz="8" w:space="0"/>
              <w:bottom w:val="single" w:color="auto" w:sz="8" w:space="0"/>
              <w:right w:val="single" w:color="auto" w:sz="18" w:space="0"/>
            </w:tcBorders>
            <w:vAlign w:val="center"/>
          </w:tcPr>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潜在投标人或投标人提出质疑应符合中华人民共和国财政部令第94号《政府采购质疑和投诉办法》的规定：</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1、提出质疑的潜在投标人或投标人应当是参与所质疑项目采购活动的潜在投标人或投标人。</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2、潜在投标人或投标人认为采购文件、采购过程、中标或者成交结果使自己的权益受到损害的，可以在知道或者应知其权益受到损害之日起7个工作日内，以书面形式向采购人、采购代理机构提出质疑。</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潜在投标人或投标人应在法定质疑期内一次性提出针对同一采购程序环节的质疑。</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潜在投标人或投标人应知其权益受到损害之日，是指：</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（1）对可以质疑的采购文件提出质疑的，为收到采购文件之日或者采购文件公告期限届满之日；</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（2）对采购过程提出质疑的，为各采购程序环节结束之日；</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（3）对中标或者成交结果提出质疑的，为中标或者成交结果公告期限届满之日。</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3、潜在投标人或投标人提出质疑应当提交质疑函和必要的证明材料。质疑函应当包括：</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3.1潜在投标人或投标人的姓名或者名称、地址、邮编、联系人及联系电话；</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3.2质疑项目的名称、编号；</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3.3具体、明确的质疑事项和与质疑事项相关的请求；</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3.4事实依据；</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3.5必要的法律依据；</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3.6提出质疑的日期。</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质疑函应采用财政部颁布的《政府采购投标人质疑函范本》。</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潜在投标人或投标人为自然人的，应当由本人签字；潜在投标人或投标人为法人或者其他组织的，应当由法定代表人、主要负责人，或者其授权代表签字或者盖章，并加盖公章。</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4、潜在投标人或投标人可以委托代理人进行质疑。其授权委托书应当载明代理人的姓名或者名称、代理事项、具体权限、期限和相关事项。潜在投标人或投标人为自然人的，应当由本人签字；潜在投标人或投标人为法人或者其他组织的，应当由法定代表人、主要负责人签字或者盖章，并加盖公章。</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5、有下列情形之一的，属于无效质疑，采购代理机构和采购人不予受理：</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5.1质疑潜在投标人或投标人不是参与所质疑项目采购活动的潜在投标人或投标人；</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5.2未在法定质疑期内发出质疑的；</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5.3质疑未以书面形式提出；</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5.4质疑函没有合法有效的签字、盖章或授权的；</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5.5以非法手段取得证据、材料的；</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5.6质疑答复后，同一质疑人就同一事项再次提出质疑的；</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5.7不符合法律、法规、规章和政府采购监管机构规定的其他条件的。</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6、质疑答复</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采购人、采购代理机构在收到质疑函后七个工作日内做出答复。</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7、质疑接收方式：潜在投标人或投标人以书面形式将质疑函原件和必要的证明材料送至接收部门，法定代表人、主要负责人、自然人提交质疑函须提交其身份证复印件，代理人提交质疑函须提交授权委托书及授权人和被授权人身份证复印件。</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联系单位：陕西华兴工程咨询有限公司</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联系电话：13403811638</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通讯地址：西安市雁塔区高新路2号西部国际广场西座2901室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8" w:hRule="atLeast"/>
          <w:jc w:val="center"/>
        </w:trPr>
        <w:tc>
          <w:tcPr>
            <w:tcW w:w="811" w:type="dxa"/>
            <w:tcBorders>
              <w:top w:val="single" w:color="auto" w:sz="8" w:space="0"/>
              <w:left w:val="single" w:color="auto" w:sz="18" w:space="0"/>
              <w:bottom w:val="single" w:color="auto" w:sz="12" w:space="0"/>
              <w:right w:val="single" w:color="auto" w:sz="8" w:space="0"/>
            </w:tcBorders>
            <w:vAlign w:val="center"/>
          </w:tcPr>
          <w:p>
            <w:pPr>
              <w:pStyle w:val="56"/>
              <w:spacing w:line="440" w:lineRule="exact"/>
              <w:jc w:val="center"/>
              <w:rPr>
                <w:rFonts w:ascii="仿宋_GB2312" w:eastAsia="仿宋_GB2312" w:cs="Courier New"/>
                <w:color w:val="auto"/>
                <w:lang w:val="zh-CN"/>
              </w:rPr>
            </w:pPr>
            <w:r>
              <w:rPr>
                <w:rFonts w:hint="eastAsia" w:ascii="仿宋_GB2312" w:eastAsia="仿宋_GB2312" w:cs="Courier New"/>
                <w:color w:val="auto"/>
                <w:lang w:val="zh-CN"/>
              </w:rPr>
              <w:t>49</w:t>
            </w:r>
          </w:p>
        </w:tc>
        <w:tc>
          <w:tcPr>
            <w:tcW w:w="2363" w:type="dxa"/>
            <w:tcBorders>
              <w:top w:val="single" w:color="auto" w:sz="8" w:space="0"/>
              <w:left w:val="single" w:color="auto" w:sz="8" w:space="0"/>
              <w:bottom w:val="single" w:color="auto" w:sz="12" w:space="0"/>
              <w:right w:val="single" w:color="auto" w:sz="8" w:space="0"/>
            </w:tcBorders>
            <w:vAlign w:val="center"/>
          </w:tcPr>
          <w:p>
            <w:pPr>
              <w:spacing w:line="360" w:lineRule="exact"/>
              <w:jc w:val="center"/>
              <w:rPr>
                <w:rFonts w:ascii="仿宋_GB2312" w:eastAsia="仿宋_GB2312" w:hAnsiTheme="minorEastAsia"/>
                <w:color w:val="auto"/>
                <w:sz w:val="24"/>
              </w:rPr>
            </w:pPr>
            <w:r>
              <w:rPr>
                <w:rFonts w:hint="eastAsia" w:ascii="仿宋_GB2312" w:eastAsia="仿宋_GB2312" w:hAnsiTheme="minorEastAsia"/>
                <w:color w:val="auto"/>
                <w:sz w:val="24"/>
              </w:rPr>
              <w:t>其他</w:t>
            </w:r>
          </w:p>
        </w:tc>
        <w:tc>
          <w:tcPr>
            <w:tcW w:w="6804" w:type="dxa"/>
            <w:tcBorders>
              <w:top w:val="single" w:color="auto" w:sz="8" w:space="0"/>
              <w:left w:val="single" w:color="auto" w:sz="8" w:space="0"/>
              <w:bottom w:val="single" w:color="auto" w:sz="12" w:space="0"/>
              <w:right w:val="single" w:color="auto" w:sz="18" w:space="0"/>
            </w:tcBorders>
            <w:vAlign w:val="center"/>
          </w:tcPr>
          <w:p>
            <w:pPr>
              <w:pStyle w:val="56"/>
              <w:spacing w:line="420" w:lineRule="exact"/>
              <w:ind w:left="105" w:leftChars="50" w:right="105" w:rightChars="50" w:firstLine="241" w:firstLineChars="100"/>
              <w:rPr>
                <w:rFonts w:ascii="仿宋_GB2312" w:eastAsia="仿宋_GB2312"/>
                <w:b/>
                <w:color w:val="auto"/>
                <w:kern w:val="2"/>
              </w:rPr>
            </w:pPr>
            <w:r>
              <w:rPr>
                <w:rFonts w:hint="eastAsia" w:ascii="仿宋_GB2312" w:eastAsia="仿宋_GB2312"/>
                <w:b/>
                <w:color w:val="auto"/>
                <w:kern w:val="2"/>
              </w:rPr>
              <w:t>1、本文件中凡加注“★”的，均为实质性条款。</w:t>
            </w:r>
          </w:p>
          <w:p>
            <w:pPr>
              <w:pStyle w:val="56"/>
              <w:spacing w:line="420" w:lineRule="exact"/>
              <w:ind w:left="105" w:leftChars="50" w:right="105" w:rightChars="50" w:firstLine="240" w:firstLineChars="100"/>
              <w:rPr>
                <w:rFonts w:ascii="仿宋_GB2312" w:eastAsia="仿宋_GB2312"/>
                <w:color w:val="auto"/>
                <w:kern w:val="2"/>
              </w:rPr>
            </w:pPr>
            <w:r>
              <w:rPr>
                <w:rFonts w:hint="eastAsia" w:ascii="仿宋_GB2312" w:eastAsia="仿宋_GB2312"/>
                <w:color w:val="auto"/>
                <w:kern w:val="2"/>
              </w:rPr>
              <w:t>★</w:t>
            </w:r>
            <w:r>
              <w:rPr>
                <w:rFonts w:hint="eastAsia" w:ascii="仿宋_GB2312" w:eastAsia="仿宋_GB2312"/>
                <w:b/>
                <w:color w:val="auto"/>
                <w:kern w:val="2"/>
              </w:rPr>
              <w:t>2、本次采购核心产品为：智能LED教室灯。</w:t>
            </w:r>
          </w:p>
          <w:p>
            <w:pPr>
              <w:pStyle w:val="56"/>
              <w:spacing w:line="420" w:lineRule="exact"/>
              <w:ind w:left="105" w:leftChars="50" w:right="105" w:rightChars="50" w:firstLine="241" w:firstLineChars="100"/>
              <w:rPr>
                <w:rFonts w:ascii="仿宋_GB2312" w:eastAsia="仿宋_GB2312" w:hAnsiTheme="minorEastAsia"/>
                <w:b/>
                <w:color w:val="auto"/>
              </w:rPr>
            </w:pPr>
            <w:r>
              <w:rPr>
                <w:rFonts w:hint="eastAsia" w:ascii="仿宋_GB2312" w:eastAsia="仿宋_GB2312"/>
                <w:b/>
                <w:color w:val="auto"/>
                <w:kern w:val="2"/>
              </w:rPr>
              <w:t>3、采购标的对应的中小企业划分标准所属行业：根据《关于印发中小企业划型标准规定的通知》（工信部联企业[2011]300号）规定，本项目行业属</w:t>
            </w:r>
            <w:r>
              <w:rPr>
                <w:rFonts w:hint="eastAsia" w:ascii="仿宋_GB2312" w:eastAsia="仿宋_GB2312"/>
                <w:b/>
                <w:color w:val="auto"/>
                <w:kern w:val="2"/>
                <w:u w:val="single"/>
              </w:rPr>
              <w:t xml:space="preserve">  制造业  </w:t>
            </w:r>
            <w:r>
              <w:rPr>
                <w:rFonts w:hint="eastAsia" w:ascii="仿宋_GB2312" w:eastAsia="仿宋_GB2312"/>
                <w:b/>
                <w:color w:val="auto"/>
                <w:kern w:val="2"/>
              </w:rPr>
              <w:t>。</w:t>
            </w:r>
          </w:p>
        </w:tc>
      </w:tr>
    </w:tbl>
    <w:p>
      <w:pPr>
        <w:rPr>
          <w:color w:val="auto"/>
        </w:rPr>
        <w:sectPr>
          <w:footerReference r:id="rId4" w:type="default"/>
          <w:pgSz w:w="11906" w:h="16838"/>
          <w:pgMar w:top="1440" w:right="1134" w:bottom="1440" w:left="1134" w:header="851" w:footer="992" w:gutter="0"/>
          <w:pgNumType w:start="1"/>
          <w:cols w:space="720" w:num="1"/>
          <w:docGrid w:linePitch="312" w:charSpace="0"/>
        </w:sectPr>
      </w:pPr>
    </w:p>
    <w:p>
      <w:pPr>
        <w:pStyle w:val="4"/>
        <w:spacing w:before="0" w:afterLines="50" w:line="360" w:lineRule="auto"/>
        <w:rPr>
          <w:rFonts w:ascii="仿宋_GB2312" w:eastAsia="仿宋_GB2312"/>
          <w:bCs w:val="0"/>
          <w:color w:val="auto"/>
        </w:rPr>
      </w:pPr>
      <w:bookmarkStart w:id="5" w:name="_Toc73278652"/>
      <w:bookmarkStart w:id="6" w:name="_Toc183682341"/>
      <w:bookmarkStart w:id="7" w:name="_Toc217446033"/>
      <w:bookmarkStart w:id="8" w:name="_Toc77400778"/>
      <w:bookmarkStart w:id="9" w:name="_Toc183582204"/>
      <w:bookmarkStart w:id="10" w:name="_Toc89075873"/>
      <w:r>
        <w:rPr>
          <w:rFonts w:hint="eastAsia" w:ascii="仿宋_GB2312" w:eastAsia="仿宋_GB2312"/>
          <w:bCs w:val="0"/>
          <w:color w:val="auto"/>
        </w:rPr>
        <w:t>1.总  则</w:t>
      </w:r>
      <w:bookmarkEnd w:id="5"/>
      <w:bookmarkEnd w:id="6"/>
      <w:bookmarkEnd w:id="7"/>
      <w:bookmarkEnd w:id="8"/>
      <w:bookmarkEnd w:id="9"/>
      <w:bookmarkEnd w:id="10"/>
      <w:bookmarkStart w:id="11" w:name="_Toc183582205"/>
      <w:bookmarkStart w:id="12" w:name="_Toc183682342"/>
      <w:bookmarkStart w:id="13" w:name="_Toc217446034"/>
    </w:p>
    <w:p>
      <w:pPr>
        <w:pStyle w:val="4"/>
        <w:spacing w:before="0" w:after="0" w:line="360" w:lineRule="auto"/>
        <w:rPr>
          <w:rFonts w:ascii="仿宋_GB2312" w:eastAsia="仿宋_GB2312"/>
          <w:bCs w:val="0"/>
          <w:color w:val="auto"/>
          <w:sz w:val="30"/>
          <w:szCs w:val="30"/>
        </w:rPr>
      </w:pPr>
      <w:bookmarkStart w:id="14" w:name="_Toc73278653"/>
      <w:r>
        <w:rPr>
          <w:rFonts w:hint="eastAsia" w:ascii="仿宋_GB2312" w:hAnsi="宋体" w:eastAsia="仿宋_GB2312"/>
          <w:color w:val="auto"/>
          <w:sz w:val="30"/>
          <w:szCs w:val="30"/>
        </w:rPr>
        <w:t>1.</w:t>
      </w:r>
      <w:bookmarkEnd w:id="11"/>
      <w:bookmarkEnd w:id="12"/>
      <w:r>
        <w:rPr>
          <w:rFonts w:hint="eastAsia" w:ascii="仿宋_GB2312" w:hAnsi="宋体" w:eastAsia="仿宋_GB2312"/>
          <w:color w:val="auto"/>
          <w:sz w:val="30"/>
          <w:szCs w:val="30"/>
        </w:rPr>
        <w:t>1适用范围</w:t>
      </w:r>
      <w:bookmarkEnd w:id="13"/>
      <w:bookmarkEnd w:id="14"/>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1.1.1本招标文件仅适用于本次公开招标所叙述的货物（产品）采购活动。</w:t>
      </w:r>
      <w:bookmarkStart w:id="15" w:name="_Toc183582206"/>
      <w:bookmarkStart w:id="16" w:name="_Toc183682343"/>
      <w:bookmarkStart w:id="17" w:name="_Toc217446035"/>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1.1.2本采购项目非专门面向中小企业采购。</w:t>
      </w:r>
    </w:p>
    <w:p>
      <w:pPr>
        <w:pStyle w:val="4"/>
        <w:spacing w:before="0" w:after="0" w:line="360" w:lineRule="auto"/>
        <w:rPr>
          <w:rFonts w:ascii="仿宋_GB2312" w:hAnsi="宋体" w:eastAsia="仿宋_GB2312"/>
          <w:color w:val="auto"/>
          <w:sz w:val="30"/>
          <w:szCs w:val="30"/>
        </w:rPr>
      </w:pPr>
      <w:bookmarkStart w:id="18" w:name="_Toc73278654"/>
      <w:r>
        <w:rPr>
          <w:rFonts w:hint="eastAsia" w:ascii="仿宋_GB2312" w:hAnsi="宋体" w:eastAsia="仿宋_GB2312"/>
          <w:color w:val="auto"/>
          <w:sz w:val="30"/>
          <w:szCs w:val="30"/>
        </w:rPr>
        <w:t>1.2</w:t>
      </w:r>
      <w:bookmarkEnd w:id="15"/>
      <w:bookmarkEnd w:id="16"/>
      <w:bookmarkEnd w:id="17"/>
      <w:r>
        <w:rPr>
          <w:rFonts w:hint="eastAsia" w:ascii="仿宋_GB2312" w:hAnsi="宋体" w:eastAsia="仿宋_GB2312"/>
          <w:color w:val="auto"/>
          <w:sz w:val="30"/>
          <w:szCs w:val="30"/>
        </w:rPr>
        <w:t>名词解释</w:t>
      </w:r>
      <w:bookmarkEnd w:id="18"/>
    </w:p>
    <w:p>
      <w:pPr>
        <w:tabs>
          <w:tab w:val="left" w:pos="7665"/>
        </w:tabs>
        <w:spacing w:line="360" w:lineRule="auto"/>
        <w:ind w:firstLine="560" w:firstLineChars="200"/>
        <w:rPr>
          <w:rFonts w:ascii="仿宋_GB2312" w:hAnsi="宋体" w:eastAsia="仿宋_GB2312"/>
          <w:color w:val="auto"/>
          <w:sz w:val="28"/>
          <w:szCs w:val="28"/>
        </w:rPr>
      </w:pPr>
      <w:bookmarkStart w:id="19" w:name="_Toc183582207"/>
      <w:bookmarkStart w:id="20" w:name="_Toc217390843"/>
      <w:bookmarkStart w:id="21" w:name="_Toc183682344"/>
      <w:bookmarkStart w:id="22" w:name="_Toc217446036"/>
      <w:r>
        <w:rPr>
          <w:rFonts w:hint="eastAsia" w:ascii="仿宋_GB2312" w:hAnsi="宋体" w:eastAsia="仿宋_GB2312"/>
          <w:color w:val="auto"/>
          <w:sz w:val="28"/>
          <w:szCs w:val="28"/>
        </w:rPr>
        <w:t>1.2.1采购人系指依法进行政府采购的国家机关、事业单位、团体组织。本次采购的采购人名称、地址、电话、联系人见投标人须知前附表。</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1.2.2监督机构系指政府采购行政监督管理部门。本次采购的监督机构：西安国家民用航天产业基地管理委员会财政局。</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1.2.3采购代理机构系指接受采购人委托，代理采购项目的依法经财政部门认定资格的采购代理机构。本次采购的采购代理机构名称、地址、电话、联系人见投标人须知前附表。</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1.2.4 投标人是指响应招标，参加投标竞争的法人或其他组织或个人。</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1.2.5 货物是指本招标文件中第四章所述所有货物。</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1.2.6 服务是指投标人为满足招标文件要求而向采购人提供的服务。</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1.2.7 节能产品指财政部、发展改革委、生态环境部等部门发布的《节能产品品目清单》中的产品。</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1.2.8 环境标志产品是指财政部、发展改革委、生态环境部等部门发布的《环境标志产品品目清单》中的产品。</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1.2.9 进口产品是指通过中国海关报关验放进入中国境内且产自关境外的产品，详见《关于政府采购进口产品管理有关问题的通知》(财库[2007]119号)。</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1.2.10中小企业是指在中华人民共和国境内依法设立，依据国务院批准的中小企业划分标准确定的中型企业、小型企业和微型企业，但与大企业的负责人为同一人，或者与大企业存在直接控股、管理关系的除外。</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1.2.11 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1.2.12 残疾人福利性单位是指符合《财政部、民政部、中国残疾人联合会关于促进残疾人就业政府采购政策的通知》（财库〔2017〕141号）规定条件的单位。</w:t>
      </w:r>
    </w:p>
    <w:p>
      <w:pPr>
        <w:pStyle w:val="4"/>
        <w:spacing w:before="0" w:after="0" w:line="360" w:lineRule="auto"/>
        <w:rPr>
          <w:rFonts w:ascii="仿宋_GB2312" w:hAnsi="宋体" w:eastAsia="仿宋_GB2312"/>
          <w:color w:val="auto"/>
          <w:sz w:val="30"/>
          <w:szCs w:val="30"/>
        </w:rPr>
      </w:pPr>
      <w:bookmarkStart w:id="23" w:name="_Toc73278655"/>
      <w:r>
        <w:rPr>
          <w:rFonts w:hint="eastAsia" w:ascii="仿宋_GB2312" w:hAnsi="宋体" w:eastAsia="仿宋_GB2312"/>
          <w:color w:val="auto"/>
          <w:sz w:val="30"/>
          <w:szCs w:val="30"/>
        </w:rPr>
        <w:t>1.3 合格的投标</w:t>
      </w:r>
      <w:bookmarkEnd w:id="19"/>
      <w:bookmarkEnd w:id="20"/>
      <w:bookmarkEnd w:id="21"/>
      <w:bookmarkEnd w:id="22"/>
      <w:r>
        <w:rPr>
          <w:rFonts w:hint="eastAsia" w:ascii="仿宋_GB2312" w:hAnsi="宋体" w:eastAsia="仿宋_GB2312"/>
          <w:color w:val="auto"/>
          <w:sz w:val="30"/>
          <w:szCs w:val="30"/>
        </w:rPr>
        <w:t>人</w:t>
      </w:r>
      <w:bookmarkEnd w:id="23"/>
    </w:p>
    <w:p>
      <w:pPr>
        <w:tabs>
          <w:tab w:val="left" w:pos="7665"/>
        </w:tabs>
        <w:spacing w:line="360" w:lineRule="auto"/>
        <w:ind w:firstLine="560" w:firstLineChars="200"/>
        <w:rPr>
          <w:rFonts w:ascii="仿宋_GB2312" w:hAnsi="宋体" w:eastAsia="仿宋_GB2312"/>
          <w:color w:val="auto"/>
          <w:sz w:val="28"/>
          <w:szCs w:val="28"/>
        </w:rPr>
      </w:pPr>
      <w:bookmarkStart w:id="24" w:name="_Toc183582208"/>
      <w:bookmarkStart w:id="25" w:name="_Toc217446037"/>
      <w:bookmarkStart w:id="26" w:name="_Toc183682345"/>
      <w:r>
        <w:rPr>
          <w:rFonts w:hint="eastAsia" w:ascii="仿宋_GB2312" w:hAnsi="宋体" w:eastAsia="仿宋_GB2312"/>
          <w:color w:val="auto"/>
          <w:sz w:val="28"/>
          <w:szCs w:val="28"/>
        </w:rPr>
        <w:t>1.3.1 合格的投标人应具备以下条件：</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（1）具备且满足本招标文件规定的投标人资格条件；</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（2）从采购代理机构购获取了招标文件；</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（3）遵守国家和地方有关的法律法规、规章和规范性文件要求。</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1.3.2 投标人不得存在下列情形之一：</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（l）与采购人、采购代理机构存在隶属关系或者其他利害关系，且可能影响招标公正性；</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（2）与本采购项目其他投标人的法定代表人（或者负责人）为同一人；</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（3）与本采购项目其他投标人存在控股、管理关系；</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（4）为本项目采购代理机构；</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（5）为本项目代理投标的为其采购代理机构；</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（6）为本项目提供整体设计、规范编制或者项目管理、监理、检测、咨询服务；</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（7）受到刑事处罚；</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（8）受到财政部门5万元以上数额罚款的行政处罚或其他行政部门较大数额罚款的行政处罚（举行听证会的）；</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（9）被责令停产停业、暂扣或者吊销许可证、暂扣或者吊销执照的行政处罚；</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（10）被列入失信被执行人名单；</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（11）被列入重大税收违法案件当事人名单；</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（12）被禁止在一至三年内参加政府采购活动或存在财政部门认定的其他重大违法记录；</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（13）法律法规规定的其他情形。</w:t>
      </w:r>
    </w:p>
    <w:p>
      <w:pPr>
        <w:pStyle w:val="4"/>
        <w:spacing w:before="0" w:after="0" w:line="360" w:lineRule="auto"/>
        <w:rPr>
          <w:rFonts w:ascii="仿宋_GB2312" w:hAnsi="宋体" w:eastAsia="仿宋_GB2312"/>
          <w:color w:val="auto"/>
          <w:sz w:val="30"/>
          <w:szCs w:val="30"/>
        </w:rPr>
      </w:pPr>
      <w:bookmarkStart w:id="27" w:name="_Toc73278656"/>
      <w:r>
        <w:rPr>
          <w:rFonts w:hint="eastAsia" w:ascii="仿宋_GB2312" w:hAnsi="宋体" w:eastAsia="仿宋_GB2312"/>
          <w:color w:val="auto"/>
          <w:sz w:val="30"/>
          <w:szCs w:val="30"/>
        </w:rPr>
        <w:t>1.4合格的货物和服务</w:t>
      </w:r>
      <w:bookmarkEnd w:id="27"/>
    </w:p>
    <w:p>
      <w:pPr>
        <w:tabs>
          <w:tab w:val="left" w:pos="7665"/>
        </w:tabs>
        <w:spacing w:line="360" w:lineRule="auto"/>
        <w:ind w:firstLine="560" w:firstLineChars="200"/>
        <w:rPr>
          <w:rFonts w:ascii="仿宋_GB2312" w:hAnsi="宋体" w:eastAsia="仿宋_GB2312"/>
          <w:color w:val="auto"/>
          <w:sz w:val="28"/>
          <w:szCs w:val="28"/>
        </w:rPr>
      </w:pPr>
      <w:bookmarkStart w:id="28" w:name="_Toc217446047"/>
      <w:r>
        <w:rPr>
          <w:rFonts w:hint="eastAsia" w:ascii="仿宋_GB2312" w:hAnsi="宋体" w:eastAsia="仿宋_GB2312"/>
          <w:color w:val="auto"/>
          <w:sz w:val="28"/>
          <w:szCs w:val="28"/>
        </w:rPr>
        <w:t>1.4.1 投标人提供的所有货物和服务，必须是合法生产、合法来源，符合国家有关标准要求，并满足招标文件规定的规格、参数、质量、价格、有效期、售后服务及投标人须承担的运输、安装、技术支持、培训和招标文件规定的其它伴随服务等要求。</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1.4.2 采购人有权拒绝接受任何不合格的货物和服务，由此产生的费用及相关后果均由投标人自行承担。</w:t>
      </w:r>
    </w:p>
    <w:p>
      <w:pPr>
        <w:pStyle w:val="4"/>
        <w:spacing w:before="0" w:after="0" w:line="360" w:lineRule="auto"/>
        <w:rPr>
          <w:rFonts w:ascii="仿宋_GB2312" w:hAnsi="宋体" w:eastAsia="仿宋_GB2312"/>
          <w:color w:val="auto"/>
          <w:sz w:val="30"/>
          <w:szCs w:val="30"/>
        </w:rPr>
      </w:pPr>
      <w:bookmarkStart w:id="29" w:name="_Toc73278657"/>
      <w:r>
        <w:rPr>
          <w:rFonts w:hint="eastAsia" w:ascii="仿宋_GB2312" w:hAnsi="宋体" w:eastAsia="仿宋_GB2312"/>
          <w:color w:val="auto"/>
          <w:sz w:val="30"/>
          <w:szCs w:val="30"/>
        </w:rPr>
        <w:t>1.5知识产权</w:t>
      </w:r>
      <w:bookmarkEnd w:id="28"/>
      <w:bookmarkEnd w:id="29"/>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1.5.1 投标人应当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1.5.2 采购人享有本项目实施过程中产生的知识成果及知识产权。</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1.5.3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1.5.4 如采用投标人所不拥有的知识产权，则在投标报价中必须包括合法获取该知识产权的相关费用。</w:t>
      </w:r>
    </w:p>
    <w:p>
      <w:pPr>
        <w:pStyle w:val="4"/>
        <w:spacing w:before="0" w:after="0" w:line="360" w:lineRule="auto"/>
        <w:rPr>
          <w:rFonts w:ascii="仿宋_GB2312" w:hAnsi="宋体" w:eastAsia="仿宋_GB2312"/>
          <w:color w:val="auto"/>
          <w:sz w:val="30"/>
          <w:szCs w:val="30"/>
        </w:rPr>
      </w:pPr>
      <w:bookmarkStart w:id="30" w:name="_Toc73278658"/>
      <w:r>
        <w:rPr>
          <w:rFonts w:hint="eastAsia" w:ascii="仿宋_GB2312" w:hAnsi="宋体" w:eastAsia="仿宋_GB2312"/>
          <w:color w:val="auto"/>
          <w:sz w:val="30"/>
          <w:szCs w:val="30"/>
        </w:rPr>
        <w:t>1.6投标费用</w:t>
      </w:r>
      <w:bookmarkEnd w:id="24"/>
      <w:bookmarkEnd w:id="25"/>
      <w:bookmarkEnd w:id="26"/>
      <w:bookmarkEnd w:id="30"/>
    </w:p>
    <w:p>
      <w:pPr>
        <w:tabs>
          <w:tab w:val="left" w:pos="7665"/>
        </w:tabs>
        <w:spacing w:line="360" w:lineRule="auto"/>
        <w:ind w:firstLine="560" w:firstLineChars="200"/>
        <w:rPr>
          <w:rFonts w:ascii="仿宋_GB2312" w:hAnsi="宋体" w:eastAsia="仿宋_GB2312"/>
          <w:color w:val="auto"/>
          <w:sz w:val="28"/>
          <w:szCs w:val="28"/>
        </w:rPr>
      </w:pPr>
      <w:bookmarkStart w:id="31" w:name="_Toc89075875"/>
      <w:bookmarkStart w:id="32" w:name="_Toc217446038"/>
      <w:bookmarkStart w:id="33" w:name="_Toc183682346"/>
      <w:bookmarkStart w:id="34" w:name="_Toc77400779"/>
      <w:bookmarkStart w:id="35" w:name="_Toc183582209"/>
      <w:r>
        <w:rPr>
          <w:rFonts w:hint="eastAsia" w:ascii="仿宋_GB2312" w:hAnsi="宋体" w:eastAsia="仿宋_GB2312"/>
          <w:color w:val="auto"/>
          <w:sz w:val="28"/>
          <w:szCs w:val="28"/>
        </w:rPr>
        <w:t>不论投标结果如何，投标人准备和参加投标活动发生的费用自理。</w:t>
      </w:r>
    </w:p>
    <w:p>
      <w:pPr>
        <w:pStyle w:val="4"/>
        <w:spacing w:before="0" w:after="0" w:line="360" w:lineRule="auto"/>
        <w:rPr>
          <w:rFonts w:ascii="仿宋_GB2312" w:hAnsi="宋体" w:eastAsia="仿宋_GB2312"/>
          <w:color w:val="auto"/>
          <w:sz w:val="30"/>
          <w:szCs w:val="30"/>
        </w:rPr>
      </w:pPr>
      <w:bookmarkStart w:id="36" w:name="_Toc73278659"/>
      <w:r>
        <w:rPr>
          <w:rFonts w:hint="eastAsia" w:ascii="仿宋_GB2312" w:hAnsi="宋体" w:eastAsia="仿宋_GB2312"/>
          <w:color w:val="auto"/>
          <w:sz w:val="30"/>
          <w:szCs w:val="30"/>
        </w:rPr>
        <w:t>1.7 保密</w:t>
      </w:r>
      <w:bookmarkEnd w:id="36"/>
    </w:p>
    <w:p>
      <w:pPr>
        <w:tabs>
          <w:tab w:val="left" w:pos="7665"/>
        </w:tabs>
        <w:spacing w:line="360" w:lineRule="auto"/>
        <w:ind w:firstLine="560" w:firstLineChars="200"/>
        <w:rPr>
          <w:rFonts w:ascii="仿宋_GB2312" w:hAnsi="宋体" w:eastAsia="仿宋_GB2312"/>
          <w:color w:val="auto"/>
          <w:sz w:val="28"/>
          <w:szCs w:val="28"/>
        </w:rPr>
      </w:pPr>
      <w:r>
        <w:rPr>
          <w:rFonts w:ascii="仿宋_GB2312" w:hAnsi="宋体" w:eastAsia="仿宋_GB2312"/>
          <w:color w:val="auto"/>
          <w:sz w:val="28"/>
          <w:szCs w:val="28"/>
        </w:rPr>
        <w:t>参与采购活动的当事人应</w:t>
      </w:r>
      <w:r>
        <w:rPr>
          <w:rFonts w:hint="eastAsia" w:ascii="仿宋_GB2312" w:hAnsi="宋体" w:eastAsia="仿宋_GB2312"/>
          <w:color w:val="auto"/>
          <w:sz w:val="28"/>
          <w:szCs w:val="28"/>
        </w:rPr>
        <w:t>当</w:t>
      </w:r>
      <w:r>
        <w:rPr>
          <w:rFonts w:ascii="仿宋_GB2312" w:hAnsi="宋体" w:eastAsia="仿宋_GB2312"/>
          <w:color w:val="auto"/>
          <w:sz w:val="28"/>
          <w:szCs w:val="28"/>
        </w:rPr>
        <w:t>对</w:t>
      </w:r>
      <w:r>
        <w:rPr>
          <w:rFonts w:hint="eastAsia" w:ascii="仿宋_GB2312" w:hAnsi="宋体" w:eastAsia="仿宋_GB2312"/>
          <w:color w:val="auto"/>
          <w:sz w:val="28"/>
          <w:szCs w:val="28"/>
        </w:rPr>
        <w:t>招标文件</w:t>
      </w:r>
      <w:r>
        <w:rPr>
          <w:rFonts w:ascii="仿宋_GB2312" w:hAnsi="宋体" w:eastAsia="仿宋_GB2312"/>
          <w:color w:val="auto"/>
          <w:sz w:val="28"/>
          <w:szCs w:val="28"/>
        </w:rPr>
        <w:t>和</w:t>
      </w:r>
      <w:r>
        <w:rPr>
          <w:rFonts w:hint="eastAsia" w:ascii="仿宋_GB2312" w:hAnsi="宋体" w:eastAsia="仿宋_GB2312"/>
          <w:color w:val="auto"/>
          <w:sz w:val="28"/>
          <w:szCs w:val="28"/>
        </w:rPr>
        <w:t>投标</w:t>
      </w:r>
      <w:r>
        <w:rPr>
          <w:rFonts w:ascii="仿宋_GB2312" w:hAnsi="宋体" w:eastAsia="仿宋_GB2312"/>
          <w:color w:val="auto"/>
          <w:sz w:val="28"/>
          <w:szCs w:val="28"/>
        </w:rPr>
        <w:t>文件中的商业秘密、技术秘密和个人隐私等保密，违者应对由此造成的后果承担法律责任。</w:t>
      </w:r>
    </w:p>
    <w:p>
      <w:pPr>
        <w:pStyle w:val="4"/>
        <w:spacing w:before="0" w:after="0" w:line="360" w:lineRule="auto"/>
        <w:rPr>
          <w:rFonts w:ascii="仿宋_GB2312" w:hAnsi="宋体" w:eastAsia="仿宋_GB2312"/>
          <w:color w:val="auto"/>
          <w:sz w:val="30"/>
          <w:szCs w:val="30"/>
        </w:rPr>
      </w:pPr>
      <w:bookmarkStart w:id="37" w:name="_Toc73278660"/>
      <w:r>
        <w:rPr>
          <w:rFonts w:hint="eastAsia" w:ascii="仿宋_GB2312" w:hAnsi="宋体" w:eastAsia="仿宋_GB2312"/>
          <w:color w:val="auto"/>
          <w:sz w:val="30"/>
          <w:szCs w:val="30"/>
        </w:rPr>
        <w:t>1.8语言文字</w:t>
      </w:r>
      <w:bookmarkEnd w:id="37"/>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1.8.1 招标投标文件使用的语言为中文。专用术语使用外文的，应附有中文注释。</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1.8.2 投标文件中如附有外文资料，必须逐一对应翻译成中文并加盖投标人单位章后附在相关外文资料后面，否则，投标人的投标文件将作为无效投标处理。</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1.8.3 投标文件中翻译的中文资料与外文资料如果出现差异和矛盾时，以中文为准。但不能故意错误翻译，否则，投标人的投标文件将作为无效投标处理。必要时采购人可以要求投标人提供附有公证书的中文翻译文件或者与原版文件签章相一致的中文翻译文件。</w:t>
      </w:r>
    </w:p>
    <w:p>
      <w:pPr>
        <w:pStyle w:val="4"/>
        <w:spacing w:before="0" w:after="0" w:line="360" w:lineRule="auto"/>
        <w:rPr>
          <w:rFonts w:ascii="仿宋_GB2312" w:hAnsi="宋体" w:eastAsia="仿宋_GB2312"/>
          <w:color w:val="auto"/>
          <w:sz w:val="30"/>
          <w:szCs w:val="30"/>
        </w:rPr>
      </w:pPr>
      <w:bookmarkStart w:id="38" w:name="_Toc73278661"/>
      <w:r>
        <w:rPr>
          <w:rFonts w:hint="eastAsia" w:ascii="仿宋_GB2312" w:hAnsi="宋体" w:eastAsia="仿宋_GB2312"/>
          <w:color w:val="auto"/>
          <w:sz w:val="30"/>
          <w:szCs w:val="30"/>
        </w:rPr>
        <w:t>1.9计量单位</w:t>
      </w:r>
      <w:bookmarkEnd w:id="38"/>
    </w:p>
    <w:p>
      <w:pPr>
        <w:tabs>
          <w:tab w:val="left" w:pos="7665"/>
        </w:tabs>
        <w:spacing w:line="360" w:lineRule="auto"/>
        <w:ind w:firstLine="405"/>
        <w:rPr>
          <w:rFonts w:ascii="仿宋_GB2312" w:hAnsi="宋体" w:eastAsia="仿宋_GB2312"/>
          <w:color w:val="auto"/>
          <w:sz w:val="28"/>
          <w:szCs w:val="28"/>
        </w:rPr>
      </w:pPr>
      <w:r>
        <w:rPr>
          <w:rFonts w:hint="eastAsia" w:ascii="仿宋_GB2312" w:hAnsi="宋体" w:eastAsia="仿宋_GB2312"/>
          <w:color w:val="auto"/>
          <w:sz w:val="28"/>
          <w:szCs w:val="28"/>
        </w:rPr>
        <w:t>所有计量单位均采用中华人民共和国法定计量单位。</w:t>
      </w:r>
    </w:p>
    <w:p>
      <w:pPr>
        <w:pStyle w:val="4"/>
        <w:spacing w:before="0" w:after="0" w:line="360" w:lineRule="auto"/>
        <w:rPr>
          <w:rFonts w:ascii="仿宋_GB2312" w:hAnsi="宋体" w:eastAsia="仿宋_GB2312"/>
          <w:color w:val="auto"/>
          <w:sz w:val="30"/>
          <w:szCs w:val="30"/>
        </w:rPr>
      </w:pPr>
      <w:bookmarkStart w:id="39" w:name="_Toc73278662"/>
      <w:r>
        <w:rPr>
          <w:rFonts w:hint="eastAsia" w:ascii="仿宋_GB2312" w:hAnsi="宋体" w:eastAsia="仿宋_GB2312"/>
          <w:color w:val="auto"/>
          <w:sz w:val="30"/>
          <w:szCs w:val="30"/>
        </w:rPr>
        <w:t>1.10 答疑会或现场考察</w:t>
      </w:r>
      <w:bookmarkEnd w:id="39"/>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1.10.1 根据本采购项目的具体情况，采购代理机构认为有必要，可以组织召开标前答疑会或组织投标人对项目现场进行考察，澄清投标人提出的问题。答疑会或进行现场考察的时间与地点，采购代理机构将以书面形式通知所有获取了招标文件的投标人。</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1.10.2 答疑会或现场考察后，采购人或采购代理机构对投标人所提问题的澄清，以书面形式通知所有获取了招标文件的投标人。该澄清内容为招标文件的组成部分。</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1.10.3 采购人不对投标人现场考察而做出的推论、理解和结论负责。一旦成交，中标人不得以任何借口，提出额外补偿，或延长合同期限的要求。</w:t>
      </w:r>
    </w:p>
    <w:p>
      <w:pPr>
        <w:pStyle w:val="4"/>
        <w:spacing w:before="0" w:after="0" w:line="360" w:lineRule="auto"/>
        <w:rPr>
          <w:rFonts w:ascii="仿宋_GB2312" w:hAnsi="宋体" w:eastAsia="仿宋_GB2312"/>
          <w:color w:val="auto"/>
          <w:sz w:val="30"/>
          <w:szCs w:val="30"/>
        </w:rPr>
      </w:pPr>
      <w:bookmarkStart w:id="40" w:name="_Toc73278663"/>
      <w:r>
        <w:rPr>
          <w:rFonts w:hint="eastAsia" w:ascii="仿宋_GB2312" w:hAnsi="宋体" w:eastAsia="仿宋_GB2312"/>
          <w:color w:val="auto"/>
          <w:sz w:val="30"/>
          <w:szCs w:val="30"/>
        </w:rPr>
        <w:t>1.11响应与偏离</w:t>
      </w:r>
      <w:bookmarkEnd w:id="40"/>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1.11.1投标文件应当对招标文件实质性要求和条件作出满足性或有利于采购人的响应，否则，投标人的投标无效。</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1.11.2偏离是指投标文件不响应或者不满足招标文件提出的要求和条件，分为实质性偏离和非实质性偏离。</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1.11.3除法律、法规和招标文件规定的其他投标无效情形外，招标文件中用“★”符号标明的条款为实质性要求和条件，投标文件对其中任何一条的偏离，为实质性偏离，其投标无效。</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1.11.4投标文件偏离招标文件的非实质性要求和条件，为非实质性偏离。非实质性偏离的范围和项数应当符合投标须知前附表的规定，超出偏离范围或超出偏离最高项数的，其投标按无效处理。</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1.11.5投标文件对招标文件的全部偏离，均应在投标文件商务条款偏离表和货物技术参数与配置偏离表中列明，除列明的内容外，视为投标人响应响应招标文件的全部要求。</w:t>
      </w:r>
    </w:p>
    <w:p>
      <w:pPr>
        <w:pStyle w:val="4"/>
        <w:spacing w:before="0" w:afterLines="50" w:line="360" w:lineRule="auto"/>
        <w:rPr>
          <w:rFonts w:ascii="仿宋_GB2312" w:eastAsia="仿宋_GB2312"/>
          <w:bCs w:val="0"/>
          <w:color w:val="auto"/>
        </w:rPr>
      </w:pPr>
      <w:bookmarkStart w:id="41" w:name="_Toc73278664"/>
      <w:r>
        <w:rPr>
          <w:rFonts w:hint="eastAsia" w:ascii="仿宋_GB2312" w:eastAsia="仿宋_GB2312"/>
          <w:bCs w:val="0"/>
          <w:color w:val="auto"/>
        </w:rPr>
        <w:t>2.招标文件</w:t>
      </w:r>
      <w:bookmarkEnd w:id="31"/>
      <w:bookmarkEnd w:id="32"/>
      <w:bookmarkEnd w:id="33"/>
      <w:bookmarkEnd w:id="34"/>
      <w:bookmarkEnd w:id="35"/>
      <w:bookmarkEnd w:id="41"/>
      <w:bookmarkStart w:id="42" w:name="_Toc183682347"/>
      <w:bookmarkStart w:id="43" w:name="_Toc183582210"/>
      <w:bookmarkStart w:id="44" w:name="_Toc217446039"/>
    </w:p>
    <w:p>
      <w:pPr>
        <w:pStyle w:val="4"/>
        <w:spacing w:before="0" w:after="0" w:line="360" w:lineRule="auto"/>
        <w:rPr>
          <w:rFonts w:ascii="仿宋_GB2312" w:hAnsi="宋体" w:eastAsia="仿宋_GB2312"/>
          <w:color w:val="auto"/>
          <w:sz w:val="30"/>
          <w:szCs w:val="30"/>
        </w:rPr>
      </w:pPr>
      <w:bookmarkStart w:id="45" w:name="_Toc73278665"/>
      <w:r>
        <w:rPr>
          <w:rFonts w:hint="eastAsia" w:ascii="仿宋_GB2312" w:hAnsi="宋体" w:eastAsia="仿宋_GB2312"/>
          <w:color w:val="auto"/>
          <w:sz w:val="30"/>
          <w:szCs w:val="30"/>
        </w:rPr>
        <w:t>2.1招标文件的</w:t>
      </w:r>
      <w:bookmarkEnd w:id="42"/>
      <w:bookmarkEnd w:id="43"/>
      <w:bookmarkEnd w:id="44"/>
      <w:r>
        <w:rPr>
          <w:rFonts w:hint="eastAsia" w:ascii="仿宋_GB2312" w:hAnsi="宋体" w:eastAsia="仿宋_GB2312"/>
          <w:color w:val="auto"/>
          <w:sz w:val="30"/>
          <w:szCs w:val="30"/>
        </w:rPr>
        <w:t>组成</w:t>
      </w:r>
      <w:bookmarkEnd w:id="45"/>
    </w:p>
    <w:p>
      <w:pPr>
        <w:tabs>
          <w:tab w:val="left" w:pos="7665"/>
        </w:tabs>
        <w:spacing w:line="360" w:lineRule="auto"/>
        <w:ind w:firstLine="560" w:firstLineChars="200"/>
        <w:rPr>
          <w:rFonts w:ascii="仿宋_GB2312" w:hAnsi="宋体" w:eastAsia="仿宋_GB2312"/>
          <w:color w:val="auto"/>
          <w:sz w:val="28"/>
          <w:szCs w:val="28"/>
        </w:rPr>
      </w:pPr>
      <w:bookmarkStart w:id="46" w:name="_Toc183582211"/>
      <w:bookmarkStart w:id="47" w:name="_Toc183682348"/>
      <w:bookmarkStart w:id="48" w:name="_Toc217446040"/>
      <w:r>
        <w:rPr>
          <w:rFonts w:hint="eastAsia" w:ascii="仿宋_GB2312" w:hAnsi="宋体" w:eastAsia="仿宋_GB2312"/>
          <w:color w:val="auto"/>
          <w:sz w:val="28"/>
          <w:szCs w:val="28"/>
        </w:rPr>
        <w:t>本招标文件包括以下内容：</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（1）招标公告；</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（2）投标人须知；</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（3）评标办法；</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（4）采购内容及要求；</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（5）政府采购合同条款；</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（6）投标文件格式；</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（7）附件。</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根据本章第1.10款、第2.2款对招标文件所作的澄清、修改，构成招标文件组成部分。</w:t>
      </w:r>
    </w:p>
    <w:p>
      <w:pPr>
        <w:pStyle w:val="4"/>
        <w:spacing w:before="0" w:after="0" w:line="360" w:lineRule="auto"/>
        <w:rPr>
          <w:rFonts w:ascii="仿宋_GB2312" w:hAnsi="宋体" w:eastAsia="仿宋_GB2312"/>
          <w:color w:val="auto"/>
          <w:sz w:val="30"/>
          <w:szCs w:val="30"/>
        </w:rPr>
      </w:pPr>
      <w:bookmarkStart w:id="49" w:name="_Toc73278666"/>
      <w:r>
        <w:rPr>
          <w:rFonts w:hint="eastAsia" w:ascii="仿宋_GB2312" w:hAnsi="宋体" w:eastAsia="仿宋_GB2312"/>
          <w:color w:val="auto"/>
          <w:sz w:val="30"/>
          <w:szCs w:val="30"/>
        </w:rPr>
        <w:t>2.2招标文件的澄清</w:t>
      </w:r>
      <w:bookmarkEnd w:id="46"/>
      <w:bookmarkEnd w:id="47"/>
      <w:r>
        <w:rPr>
          <w:rFonts w:hint="eastAsia" w:ascii="仿宋_GB2312" w:hAnsi="宋体" w:eastAsia="仿宋_GB2312"/>
          <w:color w:val="auto"/>
          <w:sz w:val="30"/>
          <w:szCs w:val="30"/>
        </w:rPr>
        <w:t>或修改</w:t>
      </w:r>
      <w:bookmarkEnd w:id="48"/>
      <w:bookmarkEnd w:id="49"/>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2.2.1 在投标截止时间前，采购代理机构无论出于何种原因，可以对已发出的招标文件进行必要的澄清或者修改，但不得修改采购标的和资格条件。</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2.2.2 采购人或采购代理机构对已发出的招标文件进行必要的澄清或者修改，澄清或修改的内容可能影响投标文件编制的，应当在投标文件截止时间15日前，以书面形式将澄清或者修改的内容通知所有获取招标文件的投标人，同时在原信息发布媒体上发布更正（澄清）公告。投标人在收到上述通知后，应立即以书面形式向采购代理机构确认。如果澄清或者修改发出的时间距规定的投标截止时间不足15日，将相应顺延投标截止时间。</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2.2.3 投标人应仔细阅读和检查招标文件的全部内容。如发现缺页或附件不全，应及时向采购代理机构提出，以便补齐。如需要询问或澄清的（除质疑外），或认为有必要与采购代理机构进行技术交流的，均应在投标截止时间10日前按招标文件中的联系方式，以书面形式向采购代理机构提出，采购代理机构应当在3个工作日内，以书面形式予以答复，或认为有必要召开答疑会。超过该时间收到的需要询问或澄清的内容，采购代理机构有权不予答复。</w:t>
      </w:r>
    </w:p>
    <w:p>
      <w:pPr>
        <w:autoSpaceDE w:val="0"/>
        <w:autoSpaceDN w:val="0"/>
        <w:spacing w:line="360" w:lineRule="auto"/>
        <w:ind w:firstLine="560" w:firstLineChars="200"/>
        <w:rPr>
          <w:rFonts w:ascii="仿宋_GB2312" w:hAnsi="宋体" w:eastAsia="仿宋_GB2312"/>
          <w:color w:val="auto"/>
          <w:sz w:val="28"/>
          <w:szCs w:val="28"/>
          <w:lang w:val="zh-CN"/>
        </w:rPr>
      </w:pPr>
      <w:r>
        <w:rPr>
          <w:rFonts w:hint="eastAsia" w:ascii="仿宋_GB2312" w:hAnsi="宋体" w:eastAsia="仿宋_GB2312"/>
          <w:color w:val="auto"/>
          <w:sz w:val="28"/>
          <w:szCs w:val="28"/>
          <w:lang w:val="zh-CN"/>
        </w:rPr>
        <w:t>凡因投标人对招标文件阅读不深、理解不透、误解、疏漏、或因市场行情了解不清、未踏勘现场等因素造成的后果和风险均由投标人自负。</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2.2.4 在投标截止时间前，采购代理机构可以视采购具体情况，延长投标截止时间和开标时间，并在招标文件要求提交投标文件的截止时间前，将变更时间以书面文件通知所有获取招标文件的投标人，同时在原信息发布媒体上发布更正公告。</w:t>
      </w:r>
      <w:bookmarkStart w:id="50" w:name="_Toc217446041"/>
      <w:bookmarkStart w:id="51" w:name="_Toc183582213"/>
      <w:bookmarkStart w:id="52" w:name="_Toc183682350"/>
      <w:bookmarkStart w:id="53" w:name="_Toc208848971"/>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2.2.5 当招标文件澄清、答复、修改或补充通知与招标文件就同一内容表述不一致时，以最后发出的书面文件内容为准。</w:t>
      </w:r>
    </w:p>
    <w:bookmarkEnd w:id="50"/>
    <w:bookmarkEnd w:id="51"/>
    <w:bookmarkEnd w:id="52"/>
    <w:bookmarkEnd w:id="53"/>
    <w:p>
      <w:pPr>
        <w:pStyle w:val="4"/>
        <w:spacing w:before="0" w:after="0" w:line="360" w:lineRule="auto"/>
        <w:rPr>
          <w:rFonts w:ascii="仿宋_GB2312" w:hAnsi="宋体" w:eastAsia="仿宋_GB2312"/>
          <w:color w:val="auto"/>
          <w:sz w:val="30"/>
          <w:szCs w:val="30"/>
        </w:rPr>
      </w:pPr>
      <w:bookmarkStart w:id="54" w:name="_Toc73278667"/>
      <w:r>
        <w:rPr>
          <w:rFonts w:hint="eastAsia" w:ascii="仿宋_GB2312" w:hAnsi="宋体" w:eastAsia="仿宋_GB2312"/>
          <w:color w:val="auto"/>
          <w:sz w:val="30"/>
          <w:szCs w:val="30"/>
        </w:rPr>
        <w:t>2.3招标文件的解释权</w:t>
      </w:r>
      <w:bookmarkEnd w:id="54"/>
    </w:p>
    <w:p>
      <w:pPr>
        <w:tabs>
          <w:tab w:val="left" w:pos="7665"/>
        </w:tabs>
        <w:spacing w:line="360" w:lineRule="auto"/>
        <w:ind w:firstLine="560" w:firstLineChars="200"/>
        <w:rPr>
          <w:rFonts w:ascii="仿宋_GB2312" w:hAnsi="宋体" w:eastAsia="仿宋_GB2312"/>
          <w:color w:val="auto"/>
          <w:sz w:val="28"/>
          <w:szCs w:val="28"/>
        </w:rPr>
      </w:pPr>
      <w:bookmarkStart w:id="55" w:name="_Toc183682351"/>
      <w:bookmarkStart w:id="56" w:name="_Toc77400780"/>
      <w:bookmarkStart w:id="57" w:name="_Toc89075876"/>
      <w:bookmarkStart w:id="58" w:name="_Toc183582214"/>
      <w:bookmarkStart w:id="59" w:name="_Toc217446042"/>
      <w:r>
        <w:rPr>
          <w:rFonts w:hint="eastAsia" w:ascii="仿宋_GB2312" w:hAnsi="宋体" w:eastAsia="仿宋_GB2312"/>
          <w:color w:val="auto"/>
          <w:sz w:val="28"/>
          <w:szCs w:val="28"/>
        </w:rPr>
        <w:t>招标文件的解释权归采购代理机构，如发现招标文件内容与现行法律法规不相符的情况，以现行法律法规为准。</w:t>
      </w:r>
    </w:p>
    <w:p>
      <w:pPr>
        <w:pStyle w:val="4"/>
        <w:spacing w:before="0" w:afterLines="50" w:line="360" w:lineRule="auto"/>
        <w:rPr>
          <w:rFonts w:ascii="仿宋_GB2312" w:eastAsia="仿宋_GB2312"/>
          <w:bCs w:val="0"/>
          <w:color w:val="auto"/>
        </w:rPr>
      </w:pPr>
      <w:bookmarkStart w:id="60" w:name="_Toc73278668"/>
      <w:r>
        <w:rPr>
          <w:rFonts w:hint="eastAsia" w:ascii="仿宋_GB2312" w:eastAsia="仿宋_GB2312"/>
          <w:bCs w:val="0"/>
          <w:color w:val="auto"/>
        </w:rPr>
        <w:t>3.投标人</w:t>
      </w:r>
      <w:bookmarkEnd w:id="60"/>
    </w:p>
    <w:p>
      <w:pPr>
        <w:pStyle w:val="4"/>
        <w:spacing w:before="0" w:after="0" w:line="360" w:lineRule="auto"/>
        <w:rPr>
          <w:rFonts w:ascii="仿宋_GB2312" w:hAnsi="宋体" w:eastAsia="仿宋_GB2312"/>
          <w:color w:val="auto"/>
          <w:sz w:val="30"/>
          <w:szCs w:val="30"/>
        </w:rPr>
      </w:pPr>
      <w:bookmarkStart w:id="61" w:name="_Toc73278669"/>
      <w:r>
        <w:rPr>
          <w:rFonts w:hint="eastAsia" w:ascii="仿宋_GB2312" w:hAnsi="宋体" w:eastAsia="仿宋_GB2312"/>
          <w:color w:val="auto"/>
          <w:sz w:val="30"/>
          <w:szCs w:val="30"/>
        </w:rPr>
        <w:t>3.1</w:t>
      </w:r>
      <w:bookmarkEnd w:id="55"/>
      <w:bookmarkEnd w:id="56"/>
      <w:bookmarkEnd w:id="57"/>
      <w:bookmarkEnd w:id="58"/>
      <w:bookmarkEnd w:id="59"/>
      <w:bookmarkStart w:id="62" w:name="_Toc183682352"/>
      <w:bookmarkStart w:id="63" w:name="_Toc217446043"/>
      <w:bookmarkStart w:id="64" w:name="_Toc183582215"/>
      <w:r>
        <w:rPr>
          <w:rFonts w:hint="eastAsia" w:ascii="仿宋_GB2312" w:hAnsi="宋体" w:eastAsia="仿宋_GB2312"/>
          <w:color w:val="auto"/>
          <w:sz w:val="30"/>
          <w:szCs w:val="30"/>
        </w:rPr>
        <w:t>投标人资格要求</w:t>
      </w:r>
      <w:bookmarkEnd w:id="61"/>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3.1.1 基本资格条件。投标人应满足《中华人民共和国政府采购法》第二十二条第一款规定，并根据《政府采购法实施条例》第十七条规定提供下列材料：</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（1）投标人的营业执照等证明文件，自然人的身份证明；</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（2）法定代表人（单位负责人）参加投标的，提供本人身份证复印件并出示身份证原件；法定代表人（单位负责人）授权他人参加投标的，提供法定代表人委托授权书并出示被授权代表的身份证原件；</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（3）财务状况报告：提供经审计的2019或2020年度财务审计报告或本项目招标公告日至投标文件递交截止时间期间开户银行出具的资信证明；</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（4）税收缴纳证明：提供投标人自投标前6个月以来已缴纳任意时段完税凭证或税务机关开具的完税证明（任意税种）；依法免税的应提供相关文件证明；</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w:t>
      </w:r>
      <w:r>
        <w:rPr>
          <w:rFonts w:ascii="仿宋_GB2312" w:hAnsi="宋体" w:eastAsia="仿宋_GB2312"/>
          <w:color w:val="auto"/>
          <w:sz w:val="28"/>
          <w:szCs w:val="28"/>
        </w:rPr>
        <w:t>社会保障资金缴纳证明</w:t>
      </w:r>
      <w:r>
        <w:rPr>
          <w:rFonts w:hint="eastAsia" w:ascii="仿宋_GB2312" w:hAnsi="宋体" w:eastAsia="仿宋_GB2312"/>
          <w:color w:val="auto"/>
          <w:sz w:val="28"/>
          <w:szCs w:val="28"/>
        </w:rPr>
        <w:t>：提供投标人自投标前6个月</w:t>
      </w:r>
      <w:r>
        <w:rPr>
          <w:rFonts w:ascii="仿宋_GB2312" w:hAnsi="宋体" w:eastAsia="仿宋_GB2312"/>
          <w:color w:val="auto"/>
          <w:sz w:val="28"/>
          <w:szCs w:val="28"/>
        </w:rPr>
        <w:t>以来已缴存的</w:t>
      </w:r>
      <w:r>
        <w:rPr>
          <w:rFonts w:hint="eastAsia" w:ascii="仿宋_GB2312" w:hAnsi="宋体" w:eastAsia="仿宋_GB2312"/>
          <w:color w:val="auto"/>
          <w:sz w:val="28"/>
          <w:szCs w:val="28"/>
        </w:rPr>
        <w:t>任意时段</w:t>
      </w:r>
      <w:r>
        <w:rPr>
          <w:rFonts w:ascii="仿宋_GB2312" w:hAnsi="宋体" w:eastAsia="仿宋_GB2312"/>
          <w:color w:val="auto"/>
          <w:sz w:val="28"/>
          <w:szCs w:val="28"/>
        </w:rPr>
        <w:t>的社会保障资金缴存单据或社保机构开具的社会保险参保缴费情况证明</w:t>
      </w:r>
      <w:r>
        <w:rPr>
          <w:rFonts w:hint="eastAsia" w:ascii="仿宋_GB2312" w:hAnsi="宋体" w:eastAsia="仿宋_GB2312"/>
          <w:color w:val="auto"/>
          <w:sz w:val="28"/>
          <w:szCs w:val="28"/>
        </w:rPr>
        <w:t>；</w:t>
      </w:r>
      <w:r>
        <w:rPr>
          <w:rFonts w:ascii="仿宋_GB2312" w:hAnsi="宋体" w:eastAsia="仿宋_GB2312"/>
          <w:color w:val="auto"/>
          <w:sz w:val="28"/>
          <w:szCs w:val="28"/>
        </w:rPr>
        <w:t>依法不需要缴纳社会保障资金的投标人应提供相关文件证明</w:t>
      </w:r>
      <w:r>
        <w:rPr>
          <w:rFonts w:hint="eastAsia" w:ascii="仿宋_GB2312" w:hAnsi="宋体" w:eastAsia="仿宋_GB2312"/>
          <w:color w:val="auto"/>
          <w:sz w:val="28"/>
          <w:szCs w:val="28"/>
        </w:rPr>
        <w:t>；</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（6）提供投标人具备履行合同所必需的设备和专业技术能力承诺函；</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（7）投标人参加本次招标前3年内，在经营活动中没有重大违法记录的书面声明。</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3.1.2 落实政府采购政策资格条件。本采购项目（包）为非专门面向中小企业采购项目（包），无落实政府采购政策资格条件要求。</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3.1.3 特定资格条件。投标人应满足《中华人民共和国政府采购法》第二十二条第二款规定，并根据《中华人民共和国政府采购法实施条例》第十七条规定提供相关证明材料。</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3.1.3.1投标人应提供下列材料：</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（8）</w:t>
      </w:r>
      <w:r>
        <w:rPr>
          <w:rFonts w:hint="eastAsia" w:ascii="仿宋_GB2312" w:hAnsi="宋体" w:eastAsia="仿宋_GB2312"/>
          <w:color w:val="auto"/>
          <w:sz w:val="28"/>
          <w:szCs w:val="28"/>
          <w:u w:val="single"/>
        </w:rPr>
        <w:t xml:space="preserve">    /      </w:t>
      </w:r>
      <w:r>
        <w:rPr>
          <w:rFonts w:hint="eastAsia" w:ascii="仿宋_GB2312" w:hAnsi="宋体" w:eastAsia="仿宋_GB2312"/>
          <w:color w:val="auto"/>
          <w:sz w:val="28"/>
          <w:szCs w:val="28"/>
        </w:rPr>
        <w:t>；</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（9）联合体投标的，联合体至少一方具备</w:t>
      </w:r>
      <w:r>
        <w:rPr>
          <w:rFonts w:hint="eastAsia" w:ascii="仿宋_GB2312" w:hAnsi="宋体" w:eastAsia="仿宋_GB2312"/>
          <w:color w:val="auto"/>
          <w:sz w:val="28"/>
          <w:szCs w:val="28"/>
          <w:u w:val="single"/>
        </w:rPr>
        <w:t xml:space="preserve">    /     </w:t>
      </w:r>
      <w:r>
        <w:rPr>
          <w:rFonts w:hint="eastAsia" w:ascii="仿宋_GB2312" w:hAnsi="宋体" w:eastAsia="仿宋_GB2312"/>
          <w:color w:val="auto"/>
          <w:sz w:val="28"/>
          <w:szCs w:val="28"/>
        </w:rPr>
        <w:t>。</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3.1.3.2 投标人须知前附表规定允许大中型企业向小微企业分包的，采取合同分包的投标人提供下列材料：</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 xml:space="preserve">（10）分包意向协议。 </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3.1.4 限定资格条件。根据政府采购的法律法规、规章和规范性文件的规定，投标人不得存在本章第1.3.2规定的情形。</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采购代理机构将通过“信用中国”网站（www.creditchina.gov.cn）和中国政府采购网站（www.ccgp.gov.cn）查询投标人信用记录，被列入失信被执行人、重大税收违法案件当事人名单、政府采购严重违法失信行为记录名单的投标人将被拒绝参与本项目投标。</w:t>
      </w:r>
    </w:p>
    <w:p>
      <w:pPr>
        <w:spacing w:line="360" w:lineRule="auto"/>
        <w:ind w:firstLine="562" w:firstLineChars="200"/>
        <w:rPr>
          <w:rFonts w:ascii="仿宋_GB2312" w:hAnsi="宋体" w:eastAsia="仿宋_GB2312"/>
          <w:b/>
          <w:color w:val="auto"/>
          <w:sz w:val="28"/>
          <w:szCs w:val="28"/>
        </w:rPr>
      </w:pPr>
      <w:r>
        <w:rPr>
          <w:rFonts w:hint="eastAsia" w:ascii="仿宋_GB2312" w:hAnsi="宋体" w:eastAsia="仿宋_GB2312"/>
          <w:b/>
          <w:color w:val="auto"/>
          <w:sz w:val="28"/>
          <w:szCs w:val="28"/>
        </w:rPr>
        <w:t>3.1.5 投标人根据采购项目的具体情况，在投标文件中应附有完整的资格证明材料，缺少一项或某项达不到招标文件要求的按无效投标文件处理，复印件加盖投标人单位公章。</w:t>
      </w:r>
    </w:p>
    <w:p>
      <w:pPr>
        <w:pStyle w:val="4"/>
        <w:spacing w:before="0" w:after="0" w:line="360" w:lineRule="auto"/>
        <w:rPr>
          <w:rFonts w:ascii="仿宋_GB2312" w:hAnsi="宋体" w:eastAsia="仿宋_GB2312"/>
          <w:color w:val="auto"/>
          <w:sz w:val="30"/>
          <w:szCs w:val="30"/>
        </w:rPr>
      </w:pPr>
      <w:bookmarkStart w:id="65" w:name="_Toc73278670"/>
      <w:r>
        <w:rPr>
          <w:rFonts w:hint="eastAsia" w:ascii="仿宋_GB2312" w:hAnsi="宋体" w:eastAsia="仿宋_GB2312"/>
          <w:color w:val="auto"/>
          <w:sz w:val="30"/>
          <w:szCs w:val="30"/>
        </w:rPr>
        <w:t>★3.2授权委托</w:t>
      </w:r>
      <w:bookmarkEnd w:id="65"/>
    </w:p>
    <w:p>
      <w:pPr>
        <w:tabs>
          <w:tab w:val="left" w:pos="7665"/>
        </w:tabs>
        <w:spacing w:line="360" w:lineRule="auto"/>
        <w:ind w:firstLine="562" w:firstLineChars="200"/>
        <w:rPr>
          <w:rFonts w:ascii="仿宋_GB2312" w:hAnsi="宋体" w:eastAsia="仿宋_GB2312"/>
          <w:b/>
          <w:color w:val="auto"/>
          <w:sz w:val="28"/>
          <w:szCs w:val="28"/>
        </w:rPr>
      </w:pPr>
      <w:r>
        <w:rPr>
          <w:rFonts w:hint="eastAsia" w:ascii="仿宋_GB2312" w:hAnsi="宋体" w:eastAsia="仿宋_GB2312"/>
          <w:b/>
          <w:color w:val="auto"/>
          <w:sz w:val="28"/>
          <w:szCs w:val="28"/>
        </w:rPr>
        <w:t>3.2.1参加投标的投标人代表为法定代表人的，在投标文件中应附有法定代表人身份证明。参加投标的投标人代表是法定代表人委托代理人的，在投标文件中应附有法定代表人授权委托书。</w:t>
      </w:r>
    </w:p>
    <w:p>
      <w:pPr>
        <w:tabs>
          <w:tab w:val="left" w:pos="7665"/>
        </w:tabs>
        <w:spacing w:line="360" w:lineRule="auto"/>
        <w:ind w:firstLine="562" w:firstLineChars="200"/>
        <w:rPr>
          <w:rFonts w:ascii="仿宋_GB2312" w:hAnsi="宋体" w:eastAsia="仿宋_GB2312"/>
          <w:b/>
          <w:color w:val="auto"/>
          <w:sz w:val="28"/>
          <w:szCs w:val="28"/>
        </w:rPr>
      </w:pPr>
      <w:r>
        <w:rPr>
          <w:rFonts w:hint="eastAsia" w:ascii="仿宋_GB2312" w:hAnsi="宋体" w:eastAsia="仿宋_GB2312"/>
          <w:b/>
          <w:color w:val="auto"/>
          <w:sz w:val="28"/>
          <w:szCs w:val="28"/>
        </w:rPr>
        <w:t>3.2.2参加投标的投标人代表只能接受一个投标人的委托参加投标（若经核实1个投标人代表同时在参加本次投标的其他投标人单位有任职或近1年在参加本次投标的其他投标人单位有社保缴费情形的，取消该投标人投标资格，若已经中标的，取消其中标资格，给采购人或采购代理机构造成损失的，应由该投标人赔偿损失，已经缴纳的采购代理服务费不予退还，涉及相关法律责任的，由采购人向本级政府采购监督部门提出书面报告）。</w:t>
      </w:r>
    </w:p>
    <w:p>
      <w:pPr>
        <w:pStyle w:val="4"/>
        <w:spacing w:before="0" w:after="0" w:line="360" w:lineRule="auto"/>
        <w:rPr>
          <w:rFonts w:ascii="仿宋_GB2312" w:hAnsi="宋体" w:eastAsia="仿宋_GB2312"/>
          <w:color w:val="auto"/>
          <w:sz w:val="30"/>
          <w:szCs w:val="30"/>
        </w:rPr>
      </w:pPr>
      <w:bookmarkStart w:id="66" w:name="_Toc73278671"/>
      <w:r>
        <w:rPr>
          <w:rFonts w:hint="eastAsia" w:ascii="仿宋_GB2312" w:hAnsi="宋体" w:eastAsia="仿宋_GB2312"/>
          <w:color w:val="auto"/>
          <w:sz w:val="30"/>
          <w:szCs w:val="30"/>
        </w:rPr>
        <w:t>3.3联合体投标</w:t>
      </w:r>
      <w:bookmarkEnd w:id="66"/>
    </w:p>
    <w:p>
      <w:pPr>
        <w:tabs>
          <w:tab w:val="left" w:pos="7665"/>
        </w:tabs>
        <w:spacing w:line="360" w:lineRule="auto"/>
        <w:ind w:firstLine="560" w:firstLineChars="200"/>
        <w:rPr>
          <w:rFonts w:ascii="仿宋_GB2312" w:hAnsi="宋体" w:eastAsia="仿宋_GB2312"/>
          <w:b/>
          <w:color w:val="auto"/>
          <w:sz w:val="28"/>
          <w:szCs w:val="28"/>
        </w:rPr>
      </w:pPr>
      <w:r>
        <w:rPr>
          <w:rFonts w:hint="eastAsia" w:ascii="仿宋_GB2312" w:hAnsi="宋体" w:eastAsia="仿宋_GB2312"/>
          <w:color w:val="auto"/>
          <w:sz w:val="28"/>
          <w:szCs w:val="28"/>
        </w:rPr>
        <w:t>3.3.1投标人须知前附表规定接受联合体投标的，适用本条款。</w:t>
      </w:r>
      <w:r>
        <w:rPr>
          <w:rFonts w:hint="eastAsia" w:ascii="仿宋_GB2312" w:hAnsi="宋体" w:eastAsia="仿宋_GB2312"/>
          <w:b/>
          <w:color w:val="auto"/>
          <w:sz w:val="28"/>
          <w:szCs w:val="28"/>
        </w:rPr>
        <w:t>（本项目不适用本条款）。</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3.3.2 两个以上投标人可以组成一个联合体，以一个投标人的身份投标。以联合体形式参加投标的，联合体各方均应当符合《中华人民共和国政府采购法》第二十二条规定的资格条件：</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（1）联合体各方均应当符合本章第3.1.1条规定的投标人基本资格条件；</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（2）联合体各方中至少应当有一方符合本章第3.1.3（9）条款规定的投标人特定资格条件；</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3.3.3联合体各方之间应当签订共同投标协议，明确约定联合体各方承担的合同工作量比例和相应的责任，并将共同投标协议连同投标文件一并提交采购代理机构。联合体各方签订共同投标协议后，不得再以自己名义单独在同一项目中投标，也不得组成新的联合体参加同一项目投标。</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3.3.4联合体应当确定其中一个单位为投标的全权代表，负责参加投标的一切事务，并承担投标及履约中应承担的全部责任与义务。</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3.3.5联合体中有同类资质的按照联合体分工承担相同工作的，应当按照资质等级较低的一方确定资质等级。</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3.3.6联合体各方应当共同与采购人签订采购合同，就采购合同约定的事项对采购人承担连带责任。</w:t>
      </w:r>
    </w:p>
    <w:p>
      <w:pPr>
        <w:pStyle w:val="4"/>
        <w:spacing w:before="0" w:after="0" w:line="360" w:lineRule="auto"/>
        <w:rPr>
          <w:rFonts w:ascii="仿宋_GB2312" w:hAnsi="宋体" w:eastAsia="仿宋_GB2312"/>
          <w:color w:val="auto"/>
          <w:sz w:val="30"/>
          <w:szCs w:val="30"/>
        </w:rPr>
      </w:pPr>
      <w:bookmarkStart w:id="67" w:name="_Toc73278672"/>
      <w:r>
        <w:rPr>
          <w:rFonts w:hint="eastAsia" w:ascii="仿宋_GB2312" w:hAnsi="宋体" w:eastAsia="仿宋_GB2312"/>
          <w:color w:val="auto"/>
          <w:sz w:val="30"/>
          <w:szCs w:val="30"/>
        </w:rPr>
        <w:t>3.4享受的政府采购政策</w:t>
      </w:r>
      <w:bookmarkEnd w:id="67"/>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3.4.1 节能产品、环境标志产品</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3.4.1.1 投标人所投产品，将依据《节能产品、环境标志产品品目清单》和认证证书实施政府优先采购和强制采购。</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3.4.1.2 投标人可以提供所投产品经国家确定的认证机构出具的、处于有效期之内的节能产品、环境标志产品认证证书复印件。采购代理机构通过中国政府采购网（</w:t>
      </w:r>
      <w:r>
        <w:rPr>
          <w:color w:val="auto"/>
        </w:rPr>
        <w:fldChar w:fldCharType="begin"/>
      </w:r>
      <w:r>
        <w:rPr>
          <w:color w:val="auto"/>
        </w:rPr>
        <w:instrText xml:space="preserve"> HYPERLINK "http://www.ccgp.gov.cn/" </w:instrText>
      </w:r>
      <w:r>
        <w:rPr>
          <w:color w:val="auto"/>
        </w:rPr>
        <w:fldChar w:fldCharType="separate"/>
      </w:r>
      <w:r>
        <w:rPr>
          <w:rFonts w:hint="eastAsia" w:ascii="仿宋_GB2312" w:hAnsi="宋体" w:eastAsia="仿宋_GB2312"/>
          <w:color w:val="auto"/>
          <w:sz w:val="28"/>
          <w:szCs w:val="28"/>
        </w:rPr>
        <w:t>http://www.ccgp.gov.cn/</w:t>
      </w:r>
      <w:r>
        <w:rPr>
          <w:rFonts w:hint="eastAsia" w:ascii="仿宋_GB2312" w:hAnsi="宋体" w:eastAsia="仿宋_GB2312"/>
          <w:color w:val="auto"/>
          <w:sz w:val="28"/>
          <w:szCs w:val="28"/>
        </w:rPr>
        <w:fldChar w:fldCharType="end"/>
      </w:r>
      <w:r>
        <w:rPr>
          <w:rFonts w:hint="eastAsia" w:ascii="仿宋_GB2312" w:hAnsi="宋体" w:eastAsia="仿宋_GB2312"/>
          <w:color w:val="auto"/>
          <w:sz w:val="28"/>
          <w:szCs w:val="28"/>
        </w:rPr>
        <w:t>）对获证产品信息进行核对。</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3.4.1.3 投标人所投产品属于下列情形之一的，属于优先采购的不再享受优先采购政策，或者属于强制采购的按无效投标文件处理：</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（1）不属于《节能产品、环境标志产品品目清单》中的产品；</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（2）未提供认证证书复印件或经核对认证证书存在信息有误的。</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3.4.2 中小企业</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3.4.2.1 投标人所投全部货物的制造商，依据《中小企业划型标准规定》（工信部联企业[2011]300号）的划分标准，都属于小微企业的，无论投标人本身是否属于中小企业，即可享受中小型企业发展扶持政策。</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3.4.2.2依据《政府采购促进中小企业发展管理办法》（财库[2020]46号）之规定，符合中小企业政策条件的投标人参加政府采购活动，应当提供《中小企业声明函》（见第六章投标文件格式），不提供的在评标时不享受价格扣除优惠政策。</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3.4.2.3 依据《财政部、司法部关于政府采购支持监狱企业发展有关问题的通知》（财库〔2014〕68号）之规定，监狱企业参加政府采购活动，视同小微企业。</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投标人为监狱企业，且所投货物（产品）全部由监狱企业制造的，应当提供由省级以上监狱管理局、戒毒管理局出具的属于监狱企业的证明文件，未提供或出具证明文件的单位不符合相关要求的，不视为小微企业，在评标时不享受价格扣除优惠政策。</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3.4.2.4依据《财政部、民政部、中国残疾人联合会关于促进残疾人就业政府采购政策的通知》（财库〔</w:t>
      </w:r>
      <w:r>
        <w:rPr>
          <w:rFonts w:ascii="仿宋_GB2312" w:hAnsi="宋体" w:eastAsia="仿宋_GB2312"/>
          <w:color w:val="auto"/>
          <w:sz w:val="28"/>
          <w:szCs w:val="28"/>
        </w:rPr>
        <w:t>2017</w:t>
      </w:r>
      <w:r>
        <w:rPr>
          <w:rFonts w:hint="eastAsia" w:ascii="仿宋_GB2312" w:hAnsi="宋体" w:eastAsia="仿宋_GB2312"/>
          <w:color w:val="auto"/>
          <w:sz w:val="28"/>
          <w:szCs w:val="28"/>
        </w:rPr>
        <w:t>〕</w:t>
      </w:r>
      <w:r>
        <w:rPr>
          <w:rFonts w:ascii="仿宋_GB2312" w:hAnsi="宋体" w:eastAsia="仿宋_GB2312"/>
          <w:color w:val="auto"/>
          <w:sz w:val="28"/>
          <w:szCs w:val="28"/>
        </w:rPr>
        <w:t>141</w:t>
      </w:r>
      <w:r>
        <w:rPr>
          <w:rFonts w:hint="eastAsia" w:ascii="仿宋_GB2312" w:hAnsi="宋体" w:eastAsia="仿宋_GB2312"/>
          <w:color w:val="auto"/>
          <w:sz w:val="28"/>
          <w:szCs w:val="28"/>
        </w:rPr>
        <w:t>号）之规定，残疾人福利性单位参加政府采购活动，视同小微企业。</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残疾人福利性单位属于小微企业的，不重复享受优惠政策。</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投标人为残疾人福利性单位，且所投货物（产品）全部由残疾人福利性单位制造的，应当提供《残疾人福利性单位声明函》（见第六章投标文件格式），未提供的不视为小微企业，在评标时不享受价格扣除优惠政策。</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3.4.2.5 投标人以联合体形式参加政府采购活动，联合体各方提供的货物（产品）均为小微企业制造的，联合体视同小微企业，联合体牵头方应当提供《中小企业声明函》，未提供的在评标时不享受价格扣除优惠政策。</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投标人以联合体形式参加政府采购活动，联合体协议约定任意一方提供的货物（产品）全部由小微企业制造，且合同份额占到合同总金额30%以上的，联合体牵头方应提供《中小企业声明函》，未提供的在评标时不享受价格扣除优惠政策。</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3.4.2.6 投标人以分包意向协议形式参加政府采购活动，投标人（大中型企业）向小微企业分包的意向协议约定小微企业制造的货物（产品）合同份额占到合同总金额30%以上的，应当提供《中小企业声明函》，未提供的在评标时不享受价格扣除优惠政策。</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3.4.2.7 投标人提供的《中小企业声明函》或者《残疾人福利性单位声明函》存在明显错误的，评标委员会可以按照第三章第1.3条款的规定，要求投标人作出澄清；澄清后，符合小微企业条件的，投标人可以享受价格扣除优惠政策；否则，不享受价格扣除优惠政策。</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3.4.2.8享受中小企业扶持政策的投标人可以同时享受节能产品、环境标志产品优先采购政策。</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3.4.2.9 政府采购监督检查、投诉处理及政府采购行政处罚中对中小企业的认定，由货物制造商注册登记所在地的县级以上人民政府中小企业主管部门负责。</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3.4.5 进口产品</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（A）本项目拒绝进口产品参加投标。本条款适合未经财政部门批准采购进口产品的项目。</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（B）投标人须知前附表规定采购进口产品的，可以由进口产品参加投标，但不得拒绝国内产品投标。本条款适合经财政部门批准采购进口产品的项目。</w:t>
      </w:r>
    </w:p>
    <w:p>
      <w:pPr>
        <w:pStyle w:val="4"/>
        <w:spacing w:before="0" w:after="0" w:line="360" w:lineRule="auto"/>
        <w:rPr>
          <w:rFonts w:ascii="仿宋_GB2312" w:hAnsi="宋体" w:eastAsia="仿宋_GB2312"/>
          <w:color w:val="auto"/>
          <w:sz w:val="30"/>
          <w:szCs w:val="30"/>
        </w:rPr>
      </w:pPr>
      <w:bookmarkStart w:id="68" w:name="_Toc73278673"/>
      <w:r>
        <w:rPr>
          <w:rFonts w:hint="eastAsia" w:ascii="仿宋_GB2312" w:hAnsi="宋体" w:eastAsia="仿宋_GB2312"/>
          <w:color w:val="auto"/>
          <w:sz w:val="30"/>
          <w:szCs w:val="30"/>
        </w:rPr>
        <w:t>3.5转包与分包</w:t>
      </w:r>
      <w:bookmarkEnd w:id="68"/>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3.5.1 本项目严禁采取转包方式履行合同。本条款所称转包，是指中标人将政府采购合同业务转让给第三人，并退出现有政府采购合同当事人双方权利业务关系，受让人（即第三人）成为政府采购合同的另一方当事人的行为。</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中标人转包的，视同拒绝履行政府采购合同业务，将依法追究法律责任。</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3.5.2享受中小企业扶持政策获得政府采购合同的，小微企业不得将合同分包给大中型企业。否则，将依法追究法律责任。</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3.5.3投标人须知前附表规定采购人允许大中型企业向小微企业分包的，中标人可以将采购项目分包给一家或多家小微企业完成，并在投标文件中提供分包意向协议。</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接受分包的供应商不得再次分包。采购合同实行分包履行的，中标人就采购项目和分包项目向采购人负责，分包供应商就分包项目承担责任。</w:t>
      </w:r>
    </w:p>
    <w:p>
      <w:pPr>
        <w:pStyle w:val="4"/>
        <w:spacing w:before="0" w:after="0" w:line="360" w:lineRule="auto"/>
        <w:rPr>
          <w:rFonts w:ascii="仿宋_GB2312" w:hAnsi="宋体" w:eastAsia="仿宋_GB2312"/>
          <w:color w:val="auto"/>
          <w:sz w:val="30"/>
          <w:szCs w:val="30"/>
        </w:rPr>
      </w:pPr>
      <w:bookmarkStart w:id="69" w:name="_Toc73278674"/>
      <w:r>
        <w:rPr>
          <w:rFonts w:hint="eastAsia" w:ascii="仿宋_GB2312" w:hAnsi="宋体" w:eastAsia="仿宋_GB2312"/>
          <w:color w:val="auto"/>
          <w:sz w:val="30"/>
          <w:szCs w:val="30"/>
        </w:rPr>
        <w:t>3.6投标人的风险</w:t>
      </w:r>
      <w:bookmarkEnd w:id="69"/>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投标人应认真阅读和充分理解招标文件中所有的事项、格式条款和规范要求，任何对招标文件的忽略或误解不能作为投标文件存在缺陷或瑕疵的理由；投标人没有按照招标文件要求提供全部资料，或对招标文件全面做出实质性响应是投标人的风险，并可能导致其投标文件被拒绝。</w:t>
      </w:r>
    </w:p>
    <w:p>
      <w:pPr>
        <w:pStyle w:val="4"/>
        <w:spacing w:before="0" w:after="0" w:line="360" w:lineRule="auto"/>
        <w:rPr>
          <w:rFonts w:ascii="仿宋_GB2312" w:hAnsi="宋体" w:eastAsia="仿宋_GB2312"/>
          <w:color w:val="auto"/>
          <w:sz w:val="30"/>
          <w:szCs w:val="30"/>
        </w:rPr>
      </w:pPr>
      <w:bookmarkStart w:id="70" w:name="_Toc73278675"/>
      <w:r>
        <w:rPr>
          <w:rFonts w:hint="eastAsia" w:ascii="仿宋_GB2312" w:hAnsi="宋体" w:eastAsia="仿宋_GB2312"/>
          <w:color w:val="auto"/>
          <w:sz w:val="30"/>
          <w:szCs w:val="30"/>
        </w:rPr>
        <w:t>3.7投标人的纪律要求</w:t>
      </w:r>
      <w:bookmarkEnd w:id="70"/>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3.7.1 有下列情形之一的，属于不合格投标人，其投标或中标资格将被取消：</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（1）提供虚假材料谋取中标；</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（2）提供假冒伪劣产品；</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（3）采取不正当手段诋毁、排挤其他投标人；</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（4）与采购人、采购代理机构、其他投标人恶意串通；</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（5）向采购人、采购代理机构、评标委员会成员行贿或者提供其他不正当利益；</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（6）在采购过程中与采购人、采购代理机构进行协商谈判；</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（7）拒绝有关部门的监督检查或者向监督检查部门提供虚假情况；</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（8）法律法规规定的其他情形。</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3.7.2</w:t>
      </w:r>
      <w:r>
        <w:rPr>
          <w:rFonts w:ascii="仿宋_GB2312" w:hAnsi="宋体" w:eastAsia="仿宋_GB2312"/>
          <w:color w:val="auto"/>
          <w:sz w:val="28"/>
          <w:szCs w:val="28"/>
        </w:rPr>
        <w:t>有下列情形之一的，视为投标</w:t>
      </w:r>
      <w:r>
        <w:rPr>
          <w:rFonts w:hint="eastAsia" w:ascii="仿宋_GB2312" w:hAnsi="宋体" w:eastAsia="仿宋_GB2312"/>
          <w:color w:val="auto"/>
          <w:sz w:val="28"/>
          <w:szCs w:val="28"/>
        </w:rPr>
        <w:t>人</w:t>
      </w:r>
      <w:r>
        <w:rPr>
          <w:rFonts w:ascii="仿宋_GB2312" w:hAnsi="宋体" w:eastAsia="仿宋_GB2312"/>
          <w:color w:val="auto"/>
          <w:sz w:val="28"/>
          <w:szCs w:val="28"/>
        </w:rPr>
        <w:t>相互恶意串通投标</w:t>
      </w:r>
      <w:r>
        <w:rPr>
          <w:rFonts w:hint="eastAsia" w:ascii="仿宋_GB2312" w:hAnsi="宋体" w:eastAsia="仿宋_GB2312"/>
          <w:color w:val="auto"/>
          <w:sz w:val="28"/>
          <w:szCs w:val="28"/>
        </w:rPr>
        <w:t>，其投标无效</w:t>
      </w:r>
      <w:r>
        <w:rPr>
          <w:rFonts w:ascii="仿宋_GB2312" w:hAnsi="宋体" w:eastAsia="仿宋_GB2312"/>
          <w:color w:val="auto"/>
          <w:sz w:val="28"/>
          <w:szCs w:val="28"/>
        </w:rPr>
        <w:t>：</w:t>
      </w:r>
    </w:p>
    <w:p>
      <w:pPr>
        <w:tabs>
          <w:tab w:val="left" w:pos="7665"/>
        </w:tabs>
        <w:spacing w:line="360" w:lineRule="auto"/>
        <w:ind w:firstLine="560" w:firstLineChars="200"/>
        <w:rPr>
          <w:rFonts w:ascii="仿宋_GB2312" w:hAnsi="宋体" w:eastAsia="仿宋_GB2312"/>
          <w:color w:val="auto"/>
          <w:sz w:val="28"/>
          <w:szCs w:val="28"/>
        </w:rPr>
      </w:pPr>
      <w:r>
        <w:rPr>
          <w:rFonts w:ascii="仿宋_GB2312" w:hAnsi="宋体" w:eastAsia="仿宋_GB2312"/>
          <w:color w:val="auto"/>
          <w:sz w:val="28"/>
          <w:szCs w:val="28"/>
        </w:rPr>
        <w:t>（</w:t>
      </w:r>
      <w:r>
        <w:rPr>
          <w:rFonts w:hint="eastAsia" w:ascii="仿宋_GB2312" w:hAnsi="宋体" w:eastAsia="仿宋_GB2312"/>
          <w:color w:val="auto"/>
          <w:sz w:val="28"/>
          <w:szCs w:val="28"/>
        </w:rPr>
        <w:t>1</w:t>
      </w:r>
      <w:r>
        <w:rPr>
          <w:rFonts w:ascii="仿宋_GB2312" w:hAnsi="宋体" w:eastAsia="仿宋_GB2312"/>
          <w:color w:val="auto"/>
          <w:sz w:val="28"/>
          <w:szCs w:val="28"/>
        </w:rPr>
        <w:t>）不同投标</w:t>
      </w:r>
      <w:r>
        <w:rPr>
          <w:rFonts w:hint="eastAsia" w:ascii="仿宋_GB2312" w:hAnsi="宋体" w:eastAsia="仿宋_GB2312"/>
          <w:color w:val="auto"/>
          <w:sz w:val="28"/>
          <w:szCs w:val="28"/>
        </w:rPr>
        <w:t>人</w:t>
      </w:r>
      <w:r>
        <w:rPr>
          <w:rFonts w:ascii="仿宋_GB2312" w:hAnsi="宋体" w:eastAsia="仿宋_GB2312"/>
          <w:color w:val="auto"/>
          <w:sz w:val="28"/>
          <w:szCs w:val="28"/>
        </w:rPr>
        <w:t>的投标文件由同一单位或者个人编制；</w:t>
      </w:r>
    </w:p>
    <w:p>
      <w:pPr>
        <w:tabs>
          <w:tab w:val="left" w:pos="7665"/>
        </w:tabs>
        <w:spacing w:line="360" w:lineRule="auto"/>
        <w:ind w:firstLine="560" w:firstLineChars="200"/>
        <w:rPr>
          <w:rFonts w:ascii="仿宋_GB2312" w:hAnsi="宋体" w:eastAsia="仿宋_GB2312"/>
          <w:color w:val="auto"/>
          <w:sz w:val="28"/>
          <w:szCs w:val="28"/>
        </w:rPr>
      </w:pPr>
      <w:r>
        <w:rPr>
          <w:rFonts w:ascii="仿宋_GB2312" w:hAnsi="宋体" w:eastAsia="仿宋_GB2312"/>
          <w:color w:val="auto"/>
          <w:sz w:val="28"/>
          <w:szCs w:val="28"/>
        </w:rPr>
        <w:t>（</w:t>
      </w:r>
      <w:r>
        <w:rPr>
          <w:rFonts w:hint="eastAsia" w:ascii="仿宋_GB2312" w:hAnsi="宋体" w:eastAsia="仿宋_GB2312"/>
          <w:color w:val="auto"/>
          <w:sz w:val="28"/>
          <w:szCs w:val="28"/>
        </w:rPr>
        <w:t>2</w:t>
      </w:r>
      <w:r>
        <w:rPr>
          <w:rFonts w:ascii="仿宋_GB2312" w:hAnsi="宋体" w:eastAsia="仿宋_GB2312"/>
          <w:color w:val="auto"/>
          <w:sz w:val="28"/>
          <w:szCs w:val="28"/>
        </w:rPr>
        <w:t>）不同投标</w:t>
      </w:r>
      <w:r>
        <w:rPr>
          <w:rFonts w:hint="eastAsia" w:ascii="仿宋_GB2312" w:hAnsi="宋体" w:eastAsia="仿宋_GB2312"/>
          <w:color w:val="auto"/>
          <w:sz w:val="28"/>
          <w:szCs w:val="28"/>
        </w:rPr>
        <w:t>人</w:t>
      </w:r>
      <w:r>
        <w:rPr>
          <w:rFonts w:ascii="仿宋_GB2312" w:hAnsi="宋体" w:eastAsia="仿宋_GB2312"/>
          <w:color w:val="auto"/>
          <w:sz w:val="28"/>
          <w:szCs w:val="28"/>
        </w:rPr>
        <w:t>委托同一单位或者个人办理投标事宜；</w:t>
      </w:r>
    </w:p>
    <w:p>
      <w:pPr>
        <w:tabs>
          <w:tab w:val="left" w:pos="7665"/>
        </w:tabs>
        <w:spacing w:line="360" w:lineRule="auto"/>
        <w:ind w:firstLine="560" w:firstLineChars="200"/>
        <w:rPr>
          <w:rFonts w:ascii="仿宋_GB2312" w:hAnsi="宋体" w:eastAsia="仿宋_GB2312"/>
          <w:color w:val="auto"/>
          <w:sz w:val="28"/>
          <w:szCs w:val="28"/>
        </w:rPr>
      </w:pPr>
      <w:r>
        <w:rPr>
          <w:rFonts w:ascii="仿宋_GB2312" w:hAnsi="宋体" w:eastAsia="仿宋_GB2312"/>
          <w:color w:val="auto"/>
          <w:sz w:val="28"/>
          <w:szCs w:val="28"/>
        </w:rPr>
        <w:t>（</w:t>
      </w:r>
      <w:r>
        <w:rPr>
          <w:rFonts w:hint="eastAsia" w:ascii="仿宋_GB2312" w:hAnsi="宋体" w:eastAsia="仿宋_GB2312"/>
          <w:color w:val="auto"/>
          <w:sz w:val="28"/>
          <w:szCs w:val="28"/>
        </w:rPr>
        <w:t>3</w:t>
      </w:r>
      <w:r>
        <w:rPr>
          <w:rFonts w:ascii="仿宋_GB2312" w:hAnsi="宋体" w:eastAsia="仿宋_GB2312"/>
          <w:color w:val="auto"/>
          <w:sz w:val="28"/>
          <w:szCs w:val="28"/>
        </w:rPr>
        <w:t>）不同投标</w:t>
      </w:r>
      <w:r>
        <w:rPr>
          <w:rFonts w:hint="eastAsia" w:ascii="仿宋_GB2312" w:hAnsi="宋体" w:eastAsia="仿宋_GB2312"/>
          <w:color w:val="auto"/>
          <w:sz w:val="28"/>
          <w:szCs w:val="28"/>
        </w:rPr>
        <w:t>人</w:t>
      </w:r>
      <w:r>
        <w:rPr>
          <w:rFonts w:ascii="仿宋_GB2312" w:hAnsi="宋体" w:eastAsia="仿宋_GB2312"/>
          <w:color w:val="auto"/>
          <w:sz w:val="28"/>
          <w:szCs w:val="28"/>
        </w:rPr>
        <w:t>的投标文件载明的项目管理成员为同一人；</w:t>
      </w:r>
    </w:p>
    <w:p>
      <w:pPr>
        <w:tabs>
          <w:tab w:val="left" w:pos="7665"/>
        </w:tabs>
        <w:spacing w:line="360" w:lineRule="auto"/>
        <w:ind w:firstLine="560" w:firstLineChars="200"/>
        <w:rPr>
          <w:rFonts w:ascii="仿宋_GB2312" w:hAnsi="宋体" w:eastAsia="仿宋_GB2312"/>
          <w:color w:val="auto"/>
          <w:sz w:val="28"/>
          <w:szCs w:val="28"/>
        </w:rPr>
      </w:pPr>
      <w:r>
        <w:rPr>
          <w:rFonts w:ascii="仿宋_GB2312" w:hAnsi="宋体" w:eastAsia="仿宋_GB2312"/>
          <w:color w:val="auto"/>
          <w:sz w:val="28"/>
          <w:szCs w:val="28"/>
        </w:rPr>
        <w:t>（</w:t>
      </w:r>
      <w:r>
        <w:rPr>
          <w:rFonts w:hint="eastAsia" w:ascii="仿宋_GB2312" w:hAnsi="宋体" w:eastAsia="仿宋_GB2312"/>
          <w:color w:val="auto"/>
          <w:sz w:val="28"/>
          <w:szCs w:val="28"/>
        </w:rPr>
        <w:t>4</w:t>
      </w:r>
      <w:r>
        <w:rPr>
          <w:rFonts w:ascii="仿宋_GB2312" w:hAnsi="宋体" w:eastAsia="仿宋_GB2312"/>
          <w:color w:val="auto"/>
          <w:sz w:val="28"/>
          <w:szCs w:val="28"/>
        </w:rPr>
        <w:t>）不同投标</w:t>
      </w:r>
      <w:r>
        <w:rPr>
          <w:rFonts w:hint="eastAsia" w:ascii="仿宋_GB2312" w:hAnsi="宋体" w:eastAsia="仿宋_GB2312"/>
          <w:color w:val="auto"/>
          <w:sz w:val="28"/>
          <w:szCs w:val="28"/>
        </w:rPr>
        <w:t>人</w:t>
      </w:r>
      <w:r>
        <w:rPr>
          <w:rFonts w:ascii="仿宋_GB2312" w:hAnsi="宋体" w:eastAsia="仿宋_GB2312"/>
          <w:color w:val="auto"/>
          <w:sz w:val="28"/>
          <w:szCs w:val="28"/>
        </w:rPr>
        <w:t>的投标文件异常一致或者投标报价呈规律性差异；</w:t>
      </w:r>
    </w:p>
    <w:p>
      <w:pPr>
        <w:tabs>
          <w:tab w:val="left" w:pos="7665"/>
        </w:tabs>
        <w:spacing w:line="360" w:lineRule="auto"/>
        <w:ind w:firstLine="560" w:firstLineChars="200"/>
        <w:rPr>
          <w:rFonts w:ascii="仿宋_GB2312" w:hAnsi="宋体" w:eastAsia="仿宋_GB2312"/>
          <w:color w:val="auto"/>
          <w:sz w:val="28"/>
          <w:szCs w:val="28"/>
        </w:rPr>
      </w:pPr>
      <w:r>
        <w:rPr>
          <w:rFonts w:ascii="仿宋_GB2312" w:hAnsi="宋体" w:eastAsia="仿宋_GB2312"/>
          <w:color w:val="auto"/>
          <w:sz w:val="28"/>
          <w:szCs w:val="28"/>
        </w:rPr>
        <w:t>（</w:t>
      </w:r>
      <w:r>
        <w:rPr>
          <w:rFonts w:hint="eastAsia" w:ascii="仿宋_GB2312" w:hAnsi="宋体" w:eastAsia="仿宋_GB2312"/>
          <w:color w:val="auto"/>
          <w:sz w:val="28"/>
          <w:szCs w:val="28"/>
        </w:rPr>
        <w:t>5</w:t>
      </w:r>
      <w:r>
        <w:rPr>
          <w:rFonts w:ascii="仿宋_GB2312" w:hAnsi="宋体" w:eastAsia="仿宋_GB2312"/>
          <w:color w:val="auto"/>
          <w:sz w:val="28"/>
          <w:szCs w:val="28"/>
        </w:rPr>
        <w:t>）不同投标</w:t>
      </w:r>
      <w:r>
        <w:rPr>
          <w:rFonts w:hint="eastAsia" w:ascii="仿宋_GB2312" w:hAnsi="宋体" w:eastAsia="仿宋_GB2312"/>
          <w:color w:val="auto"/>
          <w:sz w:val="28"/>
          <w:szCs w:val="28"/>
        </w:rPr>
        <w:t>人</w:t>
      </w:r>
      <w:r>
        <w:rPr>
          <w:rFonts w:ascii="仿宋_GB2312" w:hAnsi="宋体" w:eastAsia="仿宋_GB2312"/>
          <w:color w:val="auto"/>
          <w:sz w:val="28"/>
          <w:szCs w:val="28"/>
        </w:rPr>
        <w:t>的投标文件相互混装；</w:t>
      </w:r>
    </w:p>
    <w:p>
      <w:pPr>
        <w:tabs>
          <w:tab w:val="left" w:pos="7665"/>
        </w:tabs>
        <w:spacing w:line="360" w:lineRule="auto"/>
        <w:ind w:firstLine="560" w:firstLineChars="200"/>
        <w:rPr>
          <w:rFonts w:ascii="仿宋_GB2312" w:hAnsi="宋体" w:eastAsia="仿宋_GB2312"/>
          <w:color w:val="auto"/>
          <w:sz w:val="28"/>
          <w:szCs w:val="28"/>
        </w:rPr>
      </w:pPr>
      <w:r>
        <w:rPr>
          <w:rFonts w:ascii="仿宋_GB2312" w:hAnsi="宋体" w:eastAsia="仿宋_GB2312"/>
          <w:color w:val="auto"/>
          <w:sz w:val="28"/>
          <w:szCs w:val="28"/>
        </w:rPr>
        <w:t>（</w:t>
      </w:r>
      <w:r>
        <w:rPr>
          <w:rFonts w:hint="eastAsia" w:ascii="仿宋_GB2312" w:hAnsi="宋体" w:eastAsia="仿宋_GB2312"/>
          <w:color w:val="auto"/>
          <w:sz w:val="28"/>
          <w:szCs w:val="28"/>
        </w:rPr>
        <w:t>6</w:t>
      </w:r>
      <w:r>
        <w:rPr>
          <w:rFonts w:ascii="仿宋_GB2312" w:hAnsi="宋体" w:eastAsia="仿宋_GB2312"/>
          <w:color w:val="auto"/>
          <w:sz w:val="28"/>
          <w:szCs w:val="28"/>
        </w:rPr>
        <w:t>）</w:t>
      </w:r>
      <w:r>
        <w:rPr>
          <w:rFonts w:hint="eastAsia" w:ascii="仿宋_GB2312" w:hAnsi="宋体" w:eastAsia="仿宋_GB2312"/>
          <w:color w:val="auto"/>
          <w:sz w:val="28"/>
          <w:szCs w:val="28"/>
        </w:rPr>
        <w:t>不同投标人的投标文件由同一投标人送达</w:t>
      </w:r>
      <w:r>
        <w:rPr>
          <w:rFonts w:ascii="仿宋_GB2312" w:hAnsi="宋体" w:eastAsia="仿宋_GB2312"/>
          <w:color w:val="auto"/>
          <w:sz w:val="28"/>
          <w:szCs w:val="28"/>
        </w:rPr>
        <w:t>。</w:t>
      </w:r>
    </w:p>
    <w:p>
      <w:pPr>
        <w:pStyle w:val="4"/>
        <w:spacing w:before="0" w:afterLines="50" w:line="360" w:lineRule="auto"/>
        <w:rPr>
          <w:rFonts w:ascii="仿宋_GB2312" w:eastAsia="仿宋_GB2312"/>
          <w:bCs w:val="0"/>
          <w:color w:val="auto"/>
        </w:rPr>
      </w:pPr>
      <w:bookmarkStart w:id="71" w:name="_Toc73278676"/>
      <w:r>
        <w:rPr>
          <w:rFonts w:hint="eastAsia" w:ascii="仿宋_GB2312" w:eastAsia="仿宋_GB2312"/>
          <w:bCs w:val="0"/>
          <w:color w:val="auto"/>
        </w:rPr>
        <w:t>4.投标文件</w:t>
      </w:r>
      <w:bookmarkEnd w:id="71"/>
    </w:p>
    <w:p>
      <w:pPr>
        <w:pStyle w:val="4"/>
        <w:spacing w:before="0" w:after="0" w:line="360" w:lineRule="auto"/>
        <w:rPr>
          <w:rFonts w:ascii="仿宋_GB2312" w:hAnsi="宋体" w:eastAsia="仿宋_GB2312"/>
          <w:color w:val="auto"/>
          <w:sz w:val="30"/>
          <w:szCs w:val="30"/>
        </w:rPr>
      </w:pPr>
      <w:bookmarkStart w:id="72" w:name="_Toc73278677"/>
      <w:r>
        <w:rPr>
          <w:rFonts w:hint="eastAsia" w:ascii="仿宋_GB2312" w:hAnsi="宋体" w:eastAsia="仿宋_GB2312"/>
          <w:color w:val="auto"/>
          <w:sz w:val="30"/>
          <w:szCs w:val="30"/>
        </w:rPr>
        <w:t>4.1投标文件的编写原则和要求</w:t>
      </w:r>
      <w:bookmarkEnd w:id="72"/>
    </w:p>
    <w:bookmarkEnd w:id="62"/>
    <w:bookmarkEnd w:id="63"/>
    <w:bookmarkEnd w:id="64"/>
    <w:p>
      <w:pPr>
        <w:tabs>
          <w:tab w:val="left" w:pos="7665"/>
        </w:tabs>
        <w:spacing w:line="360" w:lineRule="auto"/>
        <w:ind w:firstLine="560" w:firstLineChars="200"/>
        <w:rPr>
          <w:rFonts w:ascii="仿宋_GB2312" w:hAnsi="宋体" w:eastAsia="仿宋_GB2312"/>
          <w:color w:val="auto"/>
          <w:sz w:val="28"/>
          <w:szCs w:val="28"/>
        </w:rPr>
      </w:pPr>
      <w:bookmarkStart w:id="73" w:name="_Toc183582217"/>
      <w:bookmarkStart w:id="74" w:name="_Toc183682354"/>
      <w:bookmarkStart w:id="75" w:name="_Toc217446048"/>
      <w:r>
        <w:rPr>
          <w:rFonts w:hint="eastAsia" w:ascii="仿宋_GB2312" w:hAnsi="宋体" w:eastAsia="仿宋_GB2312"/>
          <w:color w:val="auto"/>
          <w:sz w:val="28"/>
          <w:szCs w:val="28"/>
        </w:rPr>
        <w:t>4.1.1 投标人应仔细阅读招标文件的所有内容，按招标文件规定及要求编写，应当对招标文件提出的实质性要求做出响应，并提交完整的投标文件。投标人应对投标货物和服务提供完整详细的技术说明，若投标人对指定的技术要求不能完全响应，应在投标文件中清楚地注明。投标人对本招标文件的每一项要求所给予的响应必须是唯一的，否则将视为无效投标文件。</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4.1.2 真实性原则</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4.1.2.1 投标人应保证所提供的投标文件和所有资料的真实性、准确性和完整性。</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4.1.2.2 投标人被认定为在政府采购活动中提供不真实材料的，无论其材料是否重要，采购人均有权拒绝，并取消其投标或中标资格，投标人需承担相应的法律后果。</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4.1.3 投标货币</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本项目的投标均以人民币报价。</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4.1.4 投标文件形式</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本项目投标文件应采用书面文件形式，电报、传真、电子邮件形式的投标文件不予接受。</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4.1.5 备选方案</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4.1.5.1 除投标人须知前附表规定允许外，投标人不得递交备选投标方案，投标文件的报价只允许有一个报价，不接受具有附加条件的报价，否则，视为无效投标。</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4.1.5.2 允许投标人递交备选投标方案的，只有中标人所递交的备选投标方案方可予以考虑。评标委员会认为中标人的备选投标方案优于其按照招标文件要求编制的投标方案的，采购人可以接受该备选方案。</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4.1.5.3 投标人提供两个或两个以上投标报价，或者在投标文件中提供一个报价，但同时提供两个或两个以上供货方案的，视为提供备选方案。</w:t>
      </w:r>
    </w:p>
    <w:p>
      <w:pPr>
        <w:pStyle w:val="4"/>
        <w:spacing w:before="0" w:after="0" w:line="360" w:lineRule="auto"/>
        <w:rPr>
          <w:rFonts w:ascii="仿宋_GB2312" w:hAnsi="宋体" w:eastAsia="仿宋_GB2312"/>
          <w:color w:val="auto"/>
          <w:sz w:val="30"/>
          <w:szCs w:val="30"/>
        </w:rPr>
      </w:pPr>
      <w:bookmarkStart w:id="76" w:name="_Toc73278678"/>
      <w:r>
        <w:rPr>
          <w:rFonts w:hint="eastAsia" w:ascii="仿宋_GB2312" w:hAnsi="宋体" w:eastAsia="仿宋_GB2312"/>
          <w:color w:val="auto"/>
          <w:sz w:val="30"/>
          <w:szCs w:val="30"/>
        </w:rPr>
        <w:t>4.2 投标文件的组成</w:t>
      </w:r>
      <w:bookmarkEnd w:id="73"/>
      <w:bookmarkEnd w:id="74"/>
      <w:bookmarkEnd w:id="75"/>
      <w:bookmarkEnd w:id="76"/>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4.2.1投标文件由下列文件组成：</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（1）商务部分；</w:t>
      </w:r>
      <w:r>
        <w:rPr>
          <w:rFonts w:ascii="仿宋_GB2312" w:hAnsi="宋体" w:eastAsia="仿宋_GB2312"/>
          <w:color w:val="auto"/>
          <w:sz w:val="28"/>
          <w:szCs w:val="28"/>
        </w:rPr>
        <w:tab/>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（2）技术部分；</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（3）资格部分。</w:t>
      </w:r>
    </w:p>
    <w:p>
      <w:pPr>
        <w:tabs>
          <w:tab w:val="left" w:pos="7665"/>
        </w:tabs>
        <w:spacing w:line="360" w:lineRule="auto"/>
        <w:ind w:firstLine="560" w:firstLineChars="200"/>
        <w:rPr>
          <w:color w:val="auto"/>
        </w:rPr>
      </w:pPr>
      <w:r>
        <w:rPr>
          <w:rFonts w:hint="eastAsia" w:ascii="仿宋_GB2312" w:hAnsi="宋体" w:eastAsia="仿宋_GB2312"/>
          <w:color w:val="auto"/>
          <w:sz w:val="28"/>
          <w:szCs w:val="28"/>
        </w:rPr>
        <w:t>以上各部分具体相关内容及格式要求等详见招标文件第六章投标文件格式。</w:t>
      </w:r>
    </w:p>
    <w:p>
      <w:pPr>
        <w:pStyle w:val="4"/>
        <w:spacing w:before="0" w:after="0" w:line="360" w:lineRule="auto"/>
        <w:rPr>
          <w:rFonts w:ascii="仿宋_GB2312" w:hAnsi="宋体" w:eastAsia="仿宋_GB2312"/>
          <w:color w:val="auto"/>
          <w:sz w:val="30"/>
          <w:szCs w:val="30"/>
        </w:rPr>
      </w:pPr>
      <w:bookmarkStart w:id="77" w:name="_Toc73278679"/>
      <w:r>
        <w:rPr>
          <w:rFonts w:hint="eastAsia" w:ascii="仿宋_GB2312" w:hAnsi="宋体" w:eastAsia="仿宋_GB2312"/>
          <w:color w:val="auto"/>
          <w:sz w:val="30"/>
          <w:szCs w:val="30"/>
        </w:rPr>
        <w:t>4.3投标报价</w:t>
      </w:r>
      <w:bookmarkEnd w:id="77"/>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4.3.1 投标人应当按照招标文件要求填报投标报价，并充分了解该采购项目的总体情况以及影响投标报价的其他要素。</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4.3.2投标人的投标报价不得超过投标人须知前附表规定的预算金额，否则，作为不实质性响应招标文件，按无效投标处理；投标人须知前附表设定了最高限价的，投标人的投标报价也不得超过最高限价，否则，作为不实质性响应招标文件，按无效投标处理。</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4.3.3 投标人的报价是其响应本项目招标文件要求的全部工作内容的价格体现，包括其为完成本项目而所需的一切费用，如：产品费、附件费、工具费、验收费、运输费、保险费、设计费、人工费、材料费、机械费、安装费、调试费、管理费、利润、风险、劳动保护费、防暑降温费、特殊季节施工增加费、特殊环境施工增加费、夜间施工增加费、施工抢修增加费、二次搬运费、测量放线费、定位复测费、检验试验费、竣工验收资料编制费、成品保护费、安全文明施工费、临时设施费、大型机械进出场费、环境保护费、治污减霾费、水电费、排污费、垃圾清运费、协调费、养老保险、社会统筹、保险、税金、附加费、保修费、采购代理服务费、税金及不可预见费等全部费用。</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同时还应包含货物的设计、采购、制造、改装、供货、标准附件（含为完成安装及交付使用所必须增加的附件或配件）、备品备件 、易损件、工具、厂家赠品、原材料及生产制造、检验（包括海关、商检、技术监督局检验等）、包装、运输、海关手续费、附加税、利润、关税、印花税、消费税、仓储费、各项费用成本、管理费、运杂费、装卸费、手续费、生产、销售过程中的税费、合理利润及风险、安装、调试、检测、验收（含第三方验收）、技术服务、培训、售后服务等费用。</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投标总价中不得包含招标文件要求以外的内容，否则，在评标时不予核减。在供货、安装、调试、培训等工作中出现硬件、软件等的任何遗漏，均由中标人免费提供，采购人将不再另行增加或支付任何费用。</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4.3.4 投标人应按“开标一览表”及“分项报价明细表”的内容和格式要求填写各分项的单价、金额和总价。投标报价为各分项报价金额之和。投标报价与分项报价的合价不一致的，应以各分项合价累计数为准，修正投标报价；如分项报价中存在遗漏项，视为缺项价格已包含在其他分项报价之中。</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4.3.5 投标人每种产品只允许有一个报价，并且在合同履行过程中是固定不变的，任何有选择或可调整的报价将不予接受并按无效投标处理。</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4.3.6采购人不接受投标人给予的赠品、回扣或者与采购无关的其他商品、服务。如有赠与行为，其投标无效。</w:t>
      </w:r>
    </w:p>
    <w:p>
      <w:pPr>
        <w:pStyle w:val="4"/>
        <w:spacing w:before="0" w:after="0" w:line="360" w:lineRule="auto"/>
        <w:rPr>
          <w:rFonts w:ascii="仿宋_GB2312" w:hAnsi="宋体" w:eastAsia="仿宋_GB2312"/>
          <w:color w:val="auto"/>
          <w:sz w:val="30"/>
          <w:szCs w:val="30"/>
        </w:rPr>
      </w:pPr>
      <w:bookmarkStart w:id="78" w:name="_Toc73278680"/>
      <w:r>
        <w:rPr>
          <w:rFonts w:hint="eastAsia" w:ascii="仿宋_GB2312" w:hAnsi="宋体" w:eastAsia="仿宋_GB2312"/>
          <w:color w:val="auto"/>
          <w:sz w:val="30"/>
          <w:szCs w:val="30"/>
        </w:rPr>
        <w:t>4.4投标有效期</w:t>
      </w:r>
      <w:bookmarkEnd w:id="78"/>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4.4.1投标有效期见投标人须知前附表。在此期间投标文件对投标人具有法律约束力，从投标人须知前附表规定的递交投标文件截止时间之日起计算。投标文件中必须载明投标有效期，载明的投标有效期可以长于招标文件规定的期限，但不得短于招标文件规定的期限，否则，将按无效投标处理。</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4.4.2 出现特殊情况需要延长投标有效期的，采购代理机构或采购人可于投标有效期满之前，以书面形式通知所有投标人延长投标有效期。投标人应予书面答复，同意延长的，不得要求或被允许修改其投标文件；投标人拒绝延长的，其投标失效。</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4.4.3 在投标有效期内，投标人撤销投标文件的，应承担招标文件和法律规定的责任。</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4.4.4 中标人的投标有效期自动延长至合同终止为止。</w:t>
      </w:r>
    </w:p>
    <w:p>
      <w:pPr>
        <w:pStyle w:val="4"/>
        <w:spacing w:before="0" w:after="0" w:line="360" w:lineRule="auto"/>
        <w:rPr>
          <w:rFonts w:ascii="仿宋_GB2312" w:hAnsi="宋体" w:eastAsia="仿宋_GB2312"/>
          <w:color w:val="auto"/>
          <w:sz w:val="30"/>
          <w:szCs w:val="30"/>
        </w:rPr>
      </w:pPr>
      <w:bookmarkStart w:id="79" w:name="_Toc73278681"/>
      <w:r>
        <w:rPr>
          <w:rFonts w:hint="eastAsia" w:ascii="仿宋_GB2312" w:hAnsi="宋体" w:eastAsia="仿宋_GB2312"/>
          <w:color w:val="auto"/>
          <w:sz w:val="30"/>
          <w:szCs w:val="30"/>
        </w:rPr>
        <w:t>4.5 投标保证金</w:t>
      </w:r>
      <w:bookmarkEnd w:id="79"/>
    </w:p>
    <w:p>
      <w:pPr>
        <w:tabs>
          <w:tab w:val="left" w:pos="7665"/>
        </w:tabs>
        <w:spacing w:line="360" w:lineRule="auto"/>
        <w:ind w:firstLine="560" w:firstLineChars="200"/>
        <w:rPr>
          <w:rFonts w:ascii="仿宋_GB2312" w:hAnsi="宋体" w:eastAsia="仿宋_GB2312"/>
          <w:color w:val="auto"/>
          <w:sz w:val="28"/>
          <w:szCs w:val="28"/>
        </w:rPr>
      </w:pPr>
      <w:bookmarkStart w:id="80" w:name="_Toc183582224"/>
      <w:bookmarkStart w:id="81" w:name="_Toc217446051"/>
      <w:bookmarkStart w:id="82" w:name="_Toc183682361"/>
      <w:r>
        <w:rPr>
          <w:rFonts w:hint="eastAsia" w:ascii="仿宋_GB2312" w:hAnsi="宋体" w:eastAsia="仿宋_GB2312"/>
          <w:color w:val="auto"/>
          <w:sz w:val="28"/>
          <w:szCs w:val="28"/>
        </w:rPr>
        <w:t>本项目不设投标保证金。</w:t>
      </w:r>
    </w:p>
    <w:bookmarkEnd w:id="80"/>
    <w:bookmarkEnd w:id="81"/>
    <w:bookmarkEnd w:id="82"/>
    <w:p>
      <w:pPr>
        <w:pStyle w:val="4"/>
        <w:spacing w:before="0" w:after="0" w:line="360" w:lineRule="auto"/>
        <w:rPr>
          <w:rFonts w:ascii="仿宋_GB2312" w:hAnsi="宋体" w:eastAsia="仿宋_GB2312"/>
          <w:color w:val="auto"/>
          <w:sz w:val="30"/>
          <w:szCs w:val="30"/>
        </w:rPr>
      </w:pPr>
      <w:bookmarkStart w:id="83" w:name="_Toc183682362"/>
      <w:bookmarkStart w:id="84" w:name="_Toc183582225"/>
      <w:bookmarkStart w:id="85" w:name="_Toc217446052"/>
      <w:bookmarkStart w:id="86" w:name="_Toc73278682"/>
      <w:r>
        <w:rPr>
          <w:rFonts w:hint="eastAsia" w:ascii="仿宋_GB2312" w:hAnsi="宋体" w:eastAsia="仿宋_GB2312"/>
          <w:color w:val="auto"/>
          <w:sz w:val="30"/>
          <w:szCs w:val="30"/>
        </w:rPr>
        <w:t>4.6 投标文件的制作和签署</w:t>
      </w:r>
      <w:bookmarkEnd w:id="83"/>
      <w:bookmarkEnd w:id="84"/>
      <w:bookmarkEnd w:id="85"/>
      <w:bookmarkEnd w:id="86"/>
    </w:p>
    <w:p>
      <w:pPr>
        <w:tabs>
          <w:tab w:val="left" w:pos="7665"/>
        </w:tabs>
        <w:spacing w:line="360" w:lineRule="auto"/>
        <w:ind w:firstLine="560" w:firstLineChars="200"/>
        <w:rPr>
          <w:rFonts w:ascii="仿宋_GB2312" w:hAnsi="宋体" w:eastAsia="仿宋_GB2312"/>
          <w:color w:val="auto"/>
          <w:sz w:val="28"/>
          <w:szCs w:val="28"/>
        </w:rPr>
      </w:pPr>
      <w:bookmarkStart w:id="87" w:name="_Toc77400781"/>
      <w:bookmarkStart w:id="88" w:name="_Toc217446053"/>
      <w:bookmarkStart w:id="89" w:name="_Toc183682363"/>
      <w:bookmarkStart w:id="90" w:name="_Toc89075877"/>
      <w:bookmarkStart w:id="91" w:name="_Toc183582226"/>
      <w:r>
        <w:rPr>
          <w:rFonts w:hint="eastAsia" w:ascii="仿宋_GB2312" w:hAnsi="宋体" w:eastAsia="仿宋_GB2312"/>
          <w:color w:val="auto"/>
          <w:sz w:val="28"/>
          <w:szCs w:val="28"/>
        </w:rPr>
        <w:t>4.6.1 投标文件应根据招标文件的要求制作。投标人应填写全称，同时加盖单位章，签署、盖章和内容应完整。</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4.6.2 投标文件格式。投标人应严格按照第六章提供的“投标文件格式”编写相关内容。除明确允许投标人可以自行编写外，投标人不得以“投标文件格式”规定之外的方式填写相关内容。否则，投标人提供的投标文件将作为无效投标处理。</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4.6.3 对于没有格式要求的投标文件由投标人自行编写。</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4.6.4 投标人应按“投标须知前附表”规定的份数准备纸质版投标文件正本、副本和电子版投标文件。纸质版投标文件正本和副本封面右上角应清楚地标明“正本”或“副本”字样。</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纸质版投标文件，当副本和正本有不一致的内容，以正本书面投标文件为准。</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4.6.5 投标文件的正本和副本均需打印或用不褪色、不变质的墨水书写，并由投标人的法定代表人或其授权代表在规定签章处签字和盖章。</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纸质版投标文件副本可采用正本的复印件并加盖投标人单位公章。</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纸质版投标文件建议采用双面打印。</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4.6.6 投标文件的打印或书写应清楚工整，尽量避免行间插字、涂改或增删。如出现上述情况，改动之处应由投标人的法定代表人或其授权代表签字或盖单位章。字迹潦草、表达不清或可能导致非唯一理解的投标文件可能视为无效投标。</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4.6.7 投标文件的正本和副本一律采用A4纸幅面，并分别装订和编制目录。投标文件胶装后，页面不可抽取，不得有活动页，无破损、不可拆分。</w:t>
      </w:r>
    </w:p>
    <w:p>
      <w:pPr>
        <w:tabs>
          <w:tab w:val="left" w:pos="7665"/>
        </w:tabs>
        <w:spacing w:line="360" w:lineRule="auto"/>
        <w:ind w:firstLine="562" w:firstLineChars="200"/>
        <w:rPr>
          <w:rFonts w:ascii="仿宋_GB2312" w:hAnsi="宋体" w:eastAsia="仿宋_GB2312"/>
          <w:b/>
          <w:color w:val="auto"/>
          <w:sz w:val="28"/>
          <w:szCs w:val="28"/>
        </w:rPr>
      </w:pPr>
      <w:r>
        <w:rPr>
          <w:rFonts w:hint="eastAsia" w:ascii="仿宋_GB2312" w:hAnsi="宋体" w:eastAsia="仿宋_GB2312"/>
          <w:b/>
          <w:color w:val="auto"/>
          <w:sz w:val="28"/>
          <w:szCs w:val="28"/>
        </w:rPr>
        <w:t>4.6.8电子版投标文件制作要求。电子版投标文件与纸质版正本投标文件的内容应保持一致，否则，将按无效投标处理。</w:t>
      </w:r>
    </w:p>
    <w:p>
      <w:pPr>
        <w:tabs>
          <w:tab w:val="left" w:pos="7665"/>
        </w:tabs>
        <w:spacing w:line="360" w:lineRule="auto"/>
        <w:ind w:firstLine="562" w:firstLineChars="200"/>
        <w:rPr>
          <w:rFonts w:ascii="仿宋_GB2312" w:hAnsi="宋体" w:eastAsia="仿宋_GB2312"/>
          <w:b/>
          <w:color w:val="auto"/>
          <w:sz w:val="28"/>
          <w:szCs w:val="28"/>
        </w:rPr>
      </w:pPr>
      <w:r>
        <w:rPr>
          <w:rFonts w:hint="eastAsia" w:ascii="仿宋_GB2312" w:hAnsi="宋体" w:eastAsia="仿宋_GB2312"/>
          <w:b/>
          <w:color w:val="auto"/>
          <w:sz w:val="28"/>
          <w:szCs w:val="28"/>
        </w:rPr>
        <w:t>电子版投标文件因投标人原因导致无法读取的，按无效投标处理。</w:t>
      </w:r>
    </w:p>
    <w:p>
      <w:pPr>
        <w:tabs>
          <w:tab w:val="left" w:pos="7665"/>
        </w:tabs>
        <w:spacing w:line="360" w:lineRule="auto"/>
        <w:ind w:firstLine="562" w:firstLineChars="200"/>
        <w:rPr>
          <w:rFonts w:ascii="仿宋_GB2312" w:hAnsi="宋体" w:eastAsia="仿宋_GB2312"/>
          <w:b/>
          <w:color w:val="auto"/>
          <w:sz w:val="28"/>
          <w:szCs w:val="28"/>
        </w:rPr>
      </w:pPr>
      <w:r>
        <w:rPr>
          <w:rFonts w:hint="eastAsia" w:ascii="仿宋_GB2312" w:hAnsi="宋体" w:eastAsia="仿宋_GB2312"/>
          <w:b/>
          <w:color w:val="auto"/>
          <w:sz w:val="28"/>
          <w:szCs w:val="28"/>
        </w:rPr>
        <w:t>电子版投标文件存储U盘或光盘中无投标文件的，按无效投标处理。</w:t>
      </w:r>
    </w:p>
    <w:p>
      <w:pPr>
        <w:tabs>
          <w:tab w:val="left" w:pos="7665"/>
        </w:tabs>
        <w:spacing w:line="360" w:lineRule="auto"/>
        <w:ind w:firstLine="562" w:firstLineChars="200"/>
        <w:rPr>
          <w:rFonts w:ascii="仿宋_GB2312" w:hAnsi="宋体" w:eastAsia="仿宋_GB2312"/>
          <w:b/>
          <w:color w:val="auto"/>
          <w:sz w:val="28"/>
          <w:szCs w:val="28"/>
        </w:rPr>
      </w:pPr>
      <w:r>
        <w:rPr>
          <w:rFonts w:hint="eastAsia" w:ascii="仿宋_GB2312" w:hAnsi="宋体" w:eastAsia="仿宋_GB2312"/>
          <w:b/>
          <w:color w:val="auto"/>
          <w:sz w:val="28"/>
          <w:szCs w:val="28"/>
        </w:rPr>
        <w:t>电子版投标文件格式可以是WORD、WPS或PDF等格式，但应包含全部商务部分、技术部分和资格部分文件，不得有任何遗漏。</w:t>
      </w:r>
    </w:p>
    <w:p>
      <w:pPr>
        <w:pStyle w:val="4"/>
        <w:spacing w:before="0" w:afterLines="50" w:line="360" w:lineRule="auto"/>
        <w:rPr>
          <w:rFonts w:ascii="仿宋_GB2312" w:eastAsia="仿宋_GB2312"/>
          <w:bCs w:val="0"/>
          <w:color w:val="auto"/>
        </w:rPr>
      </w:pPr>
      <w:bookmarkStart w:id="92" w:name="_Toc73278683"/>
      <w:r>
        <w:rPr>
          <w:rFonts w:hint="eastAsia" w:ascii="仿宋_GB2312" w:eastAsia="仿宋_GB2312"/>
          <w:bCs w:val="0"/>
          <w:color w:val="auto"/>
        </w:rPr>
        <w:t>5. 投标</w:t>
      </w:r>
      <w:bookmarkEnd w:id="92"/>
    </w:p>
    <w:p>
      <w:pPr>
        <w:pStyle w:val="4"/>
        <w:spacing w:before="0" w:after="0" w:line="360" w:lineRule="auto"/>
        <w:rPr>
          <w:rFonts w:ascii="仿宋_GB2312" w:hAnsi="宋体" w:eastAsia="仿宋_GB2312"/>
          <w:color w:val="auto"/>
          <w:sz w:val="30"/>
          <w:szCs w:val="30"/>
        </w:rPr>
      </w:pPr>
      <w:bookmarkStart w:id="93" w:name="_Toc73278684"/>
      <w:r>
        <w:rPr>
          <w:rFonts w:hint="eastAsia" w:ascii="仿宋_GB2312" w:hAnsi="宋体" w:eastAsia="仿宋_GB2312"/>
          <w:color w:val="auto"/>
          <w:sz w:val="30"/>
          <w:szCs w:val="30"/>
        </w:rPr>
        <w:t>5.1 投标内容要求</w:t>
      </w:r>
      <w:bookmarkEnd w:id="93"/>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投标人应仔细阅读招标文件中的所有事项、格式、条款和要求，对招标文件的全部内容及要求作出实质性响应的基础上，可以提出比招标文件要求更有利于采购人的承诺。若分包或分标段，应以包或标段为单位投标，不得在其中选项投标或将其中内容再行分解，否则投标无效。</w:t>
      </w:r>
    </w:p>
    <w:p>
      <w:pPr>
        <w:pStyle w:val="4"/>
        <w:spacing w:before="0" w:after="0" w:line="360" w:lineRule="auto"/>
        <w:rPr>
          <w:rFonts w:ascii="仿宋_GB2312" w:hAnsi="宋体" w:eastAsia="仿宋_GB2312"/>
          <w:color w:val="auto"/>
          <w:sz w:val="30"/>
          <w:szCs w:val="30"/>
        </w:rPr>
      </w:pPr>
      <w:bookmarkStart w:id="94" w:name="_Toc73278685"/>
      <w:r>
        <w:rPr>
          <w:rFonts w:hint="eastAsia" w:ascii="仿宋_GB2312" w:hAnsi="宋体" w:eastAsia="仿宋_GB2312"/>
          <w:color w:val="auto"/>
          <w:sz w:val="30"/>
          <w:szCs w:val="30"/>
        </w:rPr>
        <w:t>5.2 投标文件的密封和标</w:t>
      </w:r>
      <w:bookmarkEnd w:id="87"/>
      <w:bookmarkEnd w:id="88"/>
      <w:bookmarkEnd w:id="89"/>
      <w:bookmarkEnd w:id="90"/>
      <w:bookmarkEnd w:id="91"/>
      <w:r>
        <w:rPr>
          <w:rFonts w:hint="eastAsia" w:ascii="仿宋_GB2312" w:hAnsi="宋体" w:eastAsia="仿宋_GB2312"/>
          <w:color w:val="auto"/>
          <w:sz w:val="30"/>
          <w:szCs w:val="30"/>
        </w:rPr>
        <w:t>记</w:t>
      </w:r>
      <w:bookmarkEnd w:id="94"/>
    </w:p>
    <w:p>
      <w:pPr>
        <w:tabs>
          <w:tab w:val="left" w:pos="7665"/>
        </w:tabs>
        <w:spacing w:line="360" w:lineRule="auto"/>
        <w:ind w:firstLine="560" w:firstLineChars="200"/>
        <w:rPr>
          <w:rFonts w:ascii="仿宋_GB2312" w:hAnsi="宋体" w:eastAsia="仿宋_GB2312"/>
          <w:color w:val="auto"/>
          <w:sz w:val="28"/>
          <w:szCs w:val="28"/>
        </w:rPr>
      </w:pPr>
      <w:bookmarkStart w:id="95" w:name="_Toc183582227"/>
      <w:bookmarkStart w:id="96" w:name="_Toc183682364"/>
      <w:bookmarkStart w:id="97" w:name="_Toc217446054"/>
      <w:r>
        <w:rPr>
          <w:rFonts w:hint="eastAsia" w:ascii="仿宋_GB2312" w:hAnsi="宋体" w:eastAsia="仿宋_GB2312"/>
          <w:color w:val="auto"/>
          <w:sz w:val="28"/>
          <w:szCs w:val="28"/>
        </w:rPr>
        <w:t>5.2.1 开标前，投标人应将全部投标文件按“投标人须知前附表”要求密封。</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5.2.2 投标文件装订、密封、装袋、标记等要求见“投标人须知前附表”。</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5.2.3 投标文件封套上应写明的内容见投标人须知前附表。</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5.2.4 未按要求密封的投标文件，采购代理机构将予以拒收。</w:t>
      </w:r>
    </w:p>
    <w:p>
      <w:pPr>
        <w:pStyle w:val="4"/>
        <w:spacing w:before="0" w:after="0" w:line="360" w:lineRule="auto"/>
        <w:rPr>
          <w:rFonts w:ascii="仿宋_GB2312" w:hAnsi="宋体" w:eastAsia="仿宋_GB2312"/>
          <w:color w:val="auto"/>
          <w:sz w:val="30"/>
          <w:szCs w:val="30"/>
        </w:rPr>
      </w:pPr>
      <w:bookmarkStart w:id="98" w:name="_Toc73278686"/>
      <w:r>
        <w:rPr>
          <w:rFonts w:hint="eastAsia" w:ascii="仿宋_GB2312" w:hAnsi="宋体" w:eastAsia="仿宋_GB2312"/>
          <w:color w:val="auto"/>
          <w:sz w:val="30"/>
          <w:szCs w:val="30"/>
        </w:rPr>
        <w:t>5.3 投标文件的</w:t>
      </w:r>
      <w:bookmarkEnd w:id="95"/>
      <w:bookmarkEnd w:id="96"/>
      <w:r>
        <w:rPr>
          <w:rFonts w:hint="eastAsia" w:ascii="仿宋_GB2312" w:hAnsi="宋体" w:eastAsia="仿宋_GB2312"/>
          <w:color w:val="auto"/>
          <w:sz w:val="30"/>
          <w:szCs w:val="30"/>
        </w:rPr>
        <w:t>递交</w:t>
      </w:r>
      <w:bookmarkEnd w:id="97"/>
      <w:bookmarkEnd w:id="98"/>
    </w:p>
    <w:p>
      <w:pPr>
        <w:tabs>
          <w:tab w:val="left" w:pos="7665"/>
        </w:tabs>
        <w:spacing w:line="360" w:lineRule="auto"/>
        <w:ind w:firstLine="560" w:firstLineChars="200"/>
        <w:rPr>
          <w:rFonts w:ascii="仿宋_GB2312" w:hAnsi="宋体" w:eastAsia="仿宋_GB2312"/>
          <w:color w:val="auto"/>
          <w:sz w:val="28"/>
          <w:szCs w:val="28"/>
        </w:rPr>
      </w:pPr>
      <w:bookmarkStart w:id="99" w:name="_Toc183582228"/>
      <w:bookmarkStart w:id="100" w:name="_Toc183682365"/>
      <w:bookmarkStart w:id="101" w:name="_Toc217446055"/>
      <w:r>
        <w:rPr>
          <w:rFonts w:hint="eastAsia" w:ascii="仿宋_GB2312" w:hAnsi="宋体" w:eastAsia="仿宋_GB2312"/>
          <w:color w:val="auto"/>
          <w:sz w:val="28"/>
          <w:szCs w:val="28"/>
        </w:rPr>
        <w:t>5.3.1 投标人应在投标人须知前附表规定的投标截止时间前递交投标文件。</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5.3.2 投标人递交投标文件地点：见投标人须知前附表。</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5.3.3 除投标人须知前附表另有规定外，投标人递交的投标文件不予退还。</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5.3.4采购代理机构收到投标文件后，应当如实记载投标文件的送达时间和密封情况，签收保存，并向投标人出具签收回执。</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5.3.5 逾期送达的投标文件，采购代理机构将予以拒收。</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5.3.6 本次招标不接受邮寄的投标文件。</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5.3.7 投标人须知规定投标人需提供样品的，同投标文件一起递交。</w:t>
      </w:r>
    </w:p>
    <w:p>
      <w:pPr>
        <w:pStyle w:val="4"/>
        <w:spacing w:before="0" w:after="0" w:line="360" w:lineRule="auto"/>
        <w:rPr>
          <w:rFonts w:ascii="仿宋_GB2312" w:hAnsi="宋体" w:eastAsia="仿宋_GB2312"/>
          <w:color w:val="auto"/>
          <w:sz w:val="30"/>
          <w:szCs w:val="30"/>
        </w:rPr>
      </w:pPr>
      <w:bookmarkStart w:id="102" w:name="_Toc73278687"/>
      <w:r>
        <w:rPr>
          <w:rFonts w:hint="eastAsia" w:ascii="仿宋_GB2312" w:hAnsi="宋体" w:eastAsia="仿宋_GB2312"/>
          <w:color w:val="auto"/>
          <w:sz w:val="30"/>
          <w:szCs w:val="30"/>
        </w:rPr>
        <w:t>5.4 投标文件的修改和撤</w:t>
      </w:r>
      <w:bookmarkEnd w:id="99"/>
      <w:bookmarkEnd w:id="100"/>
      <w:r>
        <w:rPr>
          <w:rFonts w:hint="eastAsia" w:ascii="仿宋_GB2312" w:hAnsi="宋体" w:eastAsia="仿宋_GB2312"/>
          <w:color w:val="auto"/>
          <w:sz w:val="30"/>
          <w:szCs w:val="30"/>
        </w:rPr>
        <w:t>回</w:t>
      </w:r>
      <w:bookmarkEnd w:id="101"/>
      <w:bookmarkEnd w:id="102"/>
    </w:p>
    <w:p>
      <w:pPr>
        <w:tabs>
          <w:tab w:val="left" w:pos="7665"/>
        </w:tabs>
        <w:spacing w:line="360" w:lineRule="auto"/>
        <w:ind w:firstLine="560" w:firstLineChars="200"/>
        <w:rPr>
          <w:rFonts w:ascii="仿宋_GB2312" w:hAnsi="宋体" w:eastAsia="仿宋_GB2312"/>
          <w:color w:val="auto"/>
          <w:sz w:val="28"/>
          <w:szCs w:val="28"/>
        </w:rPr>
      </w:pPr>
      <w:bookmarkStart w:id="103" w:name="_Toc89075878"/>
      <w:bookmarkStart w:id="104" w:name="_Toc77400782"/>
      <w:bookmarkStart w:id="105" w:name="_Toc183582231"/>
      <w:bookmarkStart w:id="106" w:name="_Toc183682368"/>
      <w:bookmarkStart w:id="107" w:name="_Toc217446056"/>
      <w:r>
        <w:rPr>
          <w:rFonts w:hint="eastAsia" w:ascii="仿宋_GB2312" w:hAnsi="宋体" w:eastAsia="仿宋_GB2312"/>
          <w:color w:val="auto"/>
          <w:sz w:val="28"/>
          <w:szCs w:val="28"/>
        </w:rPr>
        <w:t>5.4.1 在投标人须知前附表规定的投标截止时间前，投标人可以修改或撤回已递交的投标文件，但应以书面形式通知采购代理机构。</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5.4.2 投标人的修改或撤回通知书，应由其法定代表人或委托代理人签署并盖单位章。修改或撤回通知书应按本章第5.2.2项规定进行密封，并在密封袋上标注“投标文件修改”或“投标文件撤回通知”字样，“修改文件”作为投标文件的组成部分。</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5.4.3 投标人撤回投标文件的，采购代理机构自收到投标人书面撤回通知之日起5个工作日内退还已收取的投标保证金。</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5.4.5 在投标截止时间之后，投标人不得对其递交的投标文件做任何修改或撤销投标。</w:t>
      </w:r>
    </w:p>
    <w:p>
      <w:pPr>
        <w:pStyle w:val="4"/>
        <w:spacing w:before="0" w:afterLines="50" w:line="360" w:lineRule="auto"/>
        <w:rPr>
          <w:rFonts w:ascii="仿宋_GB2312" w:eastAsia="仿宋_GB2312"/>
          <w:bCs w:val="0"/>
          <w:color w:val="auto"/>
        </w:rPr>
      </w:pPr>
      <w:bookmarkStart w:id="108" w:name="_Toc73278688"/>
      <w:r>
        <w:rPr>
          <w:rFonts w:hint="eastAsia" w:ascii="仿宋_GB2312" w:eastAsia="仿宋_GB2312"/>
          <w:bCs w:val="0"/>
          <w:color w:val="auto"/>
        </w:rPr>
        <w:t>6.开标</w:t>
      </w:r>
      <w:bookmarkEnd w:id="103"/>
      <w:bookmarkEnd w:id="104"/>
      <w:bookmarkEnd w:id="105"/>
      <w:bookmarkEnd w:id="106"/>
      <w:bookmarkEnd w:id="107"/>
      <w:bookmarkEnd w:id="108"/>
    </w:p>
    <w:p>
      <w:pPr>
        <w:pStyle w:val="4"/>
        <w:spacing w:before="0" w:after="0" w:line="360" w:lineRule="auto"/>
        <w:rPr>
          <w:rFonts w:ascii="仿宋_GB2312" w:hAnsi="宋体" w:eastAsia="仿宋_GB2312"/>
          <w:color w:val="auto"/>
          <w:sz w:val="30"/>
          <w:szCs w:val="30"/>
        </w:rPr>
      </w:pPr>
      <w:bookmarkStart w:id="109" w:name="_Toc73278689"/>
      <w:r>
        <w:rPr>
          <w:rFonts w:hint="eastAsia" w:ascii="仿宋_GB2312" w:hAnsi="宋体" w:eastAsia="仿宋_GB2312"/>
          <w:color w:val="auto"/>
          <w:sz w:val="30"/>
          <w:szCs w:val="30"/>
        </w:rPr>
        <w:t>6.1开标时间和地点</w:t>
      </w:r>
      <w:bookmarkEnd w:id="109"/>
    </w:p>
    <w:p>
      <w:pPr>
        <w:tabs>
          <w:tab w:val="left" w:pos="7665"/>
        </w:tabs>
        <w:spacing w:line="360" w:lineRule="auto"/>
        <w:ind w:firstLine="560" w:firstLineChars="200"/>
        <w:rPr>
          <w:rFonts w:ascii="仿宋_GB2312" w:hAnsi="宋体" w:eastAsia="仿宋_GB2312"/>
          <w:color w:val="auto"/>
          <w:sz w:val="28"/>
          <w:szCs w:val="28"/>
        </w:rPr>
      </w:pPr>
      <w:bookmarkStart w:id="110" w:name="_Toc217446058"/>
      <w:r>
        <w:rPr>
          <w:rFonts w:hint="eastAsia" w:ascii="仿宋_GB2312" w:hAnsi="宋体" w:eastAsia="仿宋_GB2312"/>
          <w:color w:val="auto"/>
          <w:sz w:val="28"/>
          <w:szCs w:val="28"/>
        </w:rPr>
        <w:t>6.1.1 采购代理机构在投标人须知前附表中规定的投标截止时间（开标时间）和地点公开开标，并邀请采购人、所有投标人派代表准时参加并签到以证明其出席。评标委员会成员不得参加开标活动。</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6.1.2 投标人未参加开标的，视同认可开标结果。</w:t>
      </w:r>
    </w:p>
    <w:p>
      <w:pPr>
        <w:pStyle w:val="4"/>
        <w:spacing w:before="0" w:after="0" w:line="360" w:lineRule="auto"/>
        <w:rPr>
          <w:rFonts w:ascii="仿宋_GB2312" w:hAnsi="宋体" w:eastAsia="仿宋_GB2312"/>
          <w:color w:val="auto"/>
          <w:sz w:val="30"/>
          <w:szCs w:val="30"/>
        </w:rPr>
      </w:pPr>
      <w:bookmarkStart w:id="111" w:name="_Toc73278690"/>
      <w:r>
        <w:rPr>
          <w:rFonts w:hint="eastAsia" w:ascii="仿宋_GB2312" w:hAnsi="宋体" w:eastAsia="仿宋_GB2312"/>
          <w:color w:val="auto"/>
          <w:sz w:val="30"/>
          <w:szCs w:val="30"/>
        </w:rPr>
        <w:t>6.2 开标程序</w:t>
      </w:r>
      <w:bookmarkEnd w:id="110"/>
      <w:bookmarkEnd w:id="111"/>
    </w:p>
    <w:p>
      <w:pPr>
        <w:tabs>
          <w:tab w:val="left" w:pos="7665"/>
        </w:tabs>
        <w:spacing w:line="360" w:lineRule="auto"/>
        <w:ind w:firstLine="560" w:firstLineChars="200"/>
        <w:rPr>
          <w:rFonts w:ascii="仿宋_GB2312" w:hAnsi="宋体" w:eastAsia="仿宋_GB2312"/>
          <w:color w:val="auto"/>
          <w:sz w:val="28"/>
          <w:szCs w:val="28"/>
        </w:rPr>
      </w:pPr>
      <w:bookmarkStart w:id="112" w:name="_Toc217446059"/>
      <w:r>
        <w:rPr>
          <w:rFonts w:hint="eastAsia" w:ascii="仿宋_GB2312" w:hAnsi="宋体" w:eastAsia="仿宋_GB2312"/>
          <w:color w:val="auto"/>
          <w:sz w:val="28"/>
          <w:szCs w:val="28"/>
        </w:rPr>
        <w:t>6.2.1 开标由采购代理机构主持。主持人按照招标文件规定的开标时间宣布开标，并按下列程序进行（但不限于）：</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（1）宣布开标开始和开启录音录像设备并致辞；</w:t>
      </w:r>
    </w:p>
    <w:p>
      <w:pPr>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（2）介绍与会人员；</w:t>
      </w:r>
    </w:p>
    <w:p>
      <w:pPr>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（3）公布投标文件递交情况和投标人签到情况；</w:t>
      </w:r>
    </w:p>
    <w:p>
      <w:pPr>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（4）宣布递交投标文件的投标人名单；</w:t>
      </w:r>
    </w:p>
    <w:p>
      <w:pPr>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（5）介绍开标会工作人员；</w:t>
      </w:r>
    </w:p>
    <w:p>
      <w:pPr>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（6）宣布开标会纪律；</w:t>
      </w:r>
    </w:p>
    <w:p>
      <w:pPr>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 xml:space="preserve">（7）检查并宣布投标文件的密封情况； </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8）开标唱标：主持人宣布开标后，由现场工作人员按照任意顺序当众拆封投标文件并宣读“开标一览表”中主要内容；所有投标拆封唱标完毕，如投标人对宣读的“开标一览表”上的内容有异议的，应当举手示意，在获得主持人同意后当场提出；如确实属于宣读错误的，经核实后，当场予以更正；无异议后，由投标人法定代表人或委托代理人及现场监督人员签字确认唱标内容；</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9）宣布开标结束：主持人宣布开标结束后，所有投标人应立即退场（招标文件要求演示、述标的除外）；同时所有投标人应保持通讯设备的畅通，以方便在评标过程中评标委员会要求投标人对投标文件的必要澄清、说明和纠正。</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6.2.2投标人对开标过程和开标记录有疑义，以及认为采购人、采购代理机构相关工作人员有需要回避情形的，应当场提出询问或者回避申请。采购人、采购代理机构对投标人代表提出的询问或者回避申请应当及时处理，并制作记录。</w:t>
      </w:r>
    </w:p>
    <w:p>
      <w:pPr>
        <w:pStyle w:val="4"/>
        <w:spacing w:before="0" w:afterLines="50" w:line="360" w:lineRule="auto"/>
        <w:rPr>
          <w:rFonts w:ascii="仿宋_GB2312" w:eastAsia="仿宋_GB2312"/>
          <w:bCs w:val="0"/>
          <w:color w:val="auto"/>
        </w:rPr>
      </w:pPr>
      <w:bookmarkStart w:id="113" w:name="_Toc73278691"/>
      <w:r>
        <w:rPr>
          <w:rFonts w:hint="eastAsia" w:ascii="仿宋_GB2312" w:eastAsia="仿宋_GB2312"/>
          <w:bCs w:val="0"/>
          <w:color w:val="auto"/>
        </w:rPr>
        <w:t>7. 投标人资格审查</w:t>
      </w:r>
      <w:bookmarkEnd w:id="113"/>
    </w:p>
    <w:p>
      <w:pPr>
        <w:pStyle w:val="4"/>
        <w:spacing w:before="0" w:after="0" w:line="360" w:lineRule="auto"/>
        <w:rPr>
          <w:rFonts w:ascii="仿宋_GB2312" w:hAnsi="宋体" w:eastAsia="仿宋_GB2312"/>
          <w:color w:val="auto"/>
          <w:sz w:val="30"/>
          <w:szCs w:val="30"/>
        </w:rPr>
      </w:pPr>
      <w:bookmarkStart w:id="114" w:name="_Toc73278692"/>
      <w:r>
        <w:rPr>
          <w:rFonts w:hint="eastAsia" w:ascii="仿宋_GB2312" w:hAnsi="宋体" w:eastAsia="仿宋_GB2312"/>
          <w:color w:val="auto"/>
          <w:sz w:val="30"/>
          <w:szCs w:val="30"/>
        </w:rPr>
        <w:t>7.1 资格审查小组</w:t>
      </w:r>
      <w:bookmarkEnd w:id="114"/>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7.1.1根据本项目采购人授权函，本项目资格审查小组由1名采购人代表和2名采购代理机构工作人员组成。</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7.1.2资格审查小组依法对投标人的资格进行审查。</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7.1.3 资格审查小组成立后，全体小组成员应当在签到表中签到。</w:t>
      </w:r>
    </w:p>
    <w:p>
      <w:pPr>
        <w:pStyle w:val="4"/>
        <w:spacing w:before="0" w:after="0" w:line="360" w:lineRule="auto"/>
        <w:rPr>
          <w:rFonts w:ascii="仿宋_GB2312" w:hAnsi="宋体" w:eastAsia="仿宋_GB2312"/>
          <w:color w:val="auto"/>
          <w:sz w:val="30"/>
          <w:szCs w:val="30"/>
        </w:rPr>
      </w:pPr>
      <w:bookmarkStart w:id="115" w:name="_Toc73278693"/>
      <w:r>
        <w:rPr>
          <w:rFonts w:hint="eastAsia" w:ascii="仿宋_GB2312" w:hAnsi="宋体" w:eastAsia="仿宋_GB2312"/>
          <w:color w:val="auto"/>
          <w:sz w:val="30"/>
          <w:szCs w:val="30"/>
        </w:rPr>
        <w:t>7.2 资格审查办法</w:t>
      </w:r>
      <w:bookmarkEnd w:id="115"/>
    </w:p>
    <w:p>
      <w:pPr>
        <w:tabs>
          <w:tab w:val="left" w:pos="0"/>
        </w:tabs>
        <w:adjustRightInd w:val="0"/>
        <w:snapToGrid w:val="0"/>
        <w:spacing w:line="360" w:lineRule="auto"/>
        <w:ind w:firstLine="548" w:firstLineChars="196"/>
        <w:rPr>
          <w:rFonts w:ascii="仿宋_GB2312" w:hAnsi="宋体" w:eastAsia="仿宋_GB2312"/>
          <w:color w:val="auto"/>
          <w:sz w:val="28"/>
          <w:szCs w:val="28"/>
        </w:rPr>
      </w:pPr>
      <w:r>
        <w:rPr>
          <w:rFonts w:hint="eastAsia" w:ascii="仿宋_GB2312" w:hAnsi="宋体" w:eastAsia="仿宋_GB2312"/>
          <w:color w:val="auto"/>
          <w:sz w:val="28"/>
          <w:szCs w:val="28"/>
        </w:rPr>
        <w:t>7.2.1 资格审查在开标结束之后评标开始之前进行。</w:t>
      </w:r>
    </w:p>
    <w:p>
      <w:pPr>
        <w:tabs>
          <w:tab w:val="left" w:pos="0"/>
        </w:tabs>
        <w:adjustRightInd w:val="0"/>
        <w:snapToGrid w:val="0"/>
        <w:spacing w:line="360" w:lineRule="auto"/>
        <w:ind w:firstLine="548" w:firstLineChars="196"/>
        <w:rPr>
          <w:rFonts w:ascii="仿宋_GB2312" w:hAnsi="宋体" w:eastAsia="仿宋_GB2312" w:cs="宋体"/>
          <w:color w:val="auto"/>
          <w:kern w:val="0"/>
          <w:sz w:val="28"/>
          <w:szCs w:val="28"/>
        </w:rPr>
      </w:pPr>
      <w:r>
        <w:rPr>
          <w:rFonts w:hint="eastAsia" w:ascii="仿宋_GB2312" w:hAnsi="宋体" w:eastAsia="仿宋_GB2312"/>
          <w:color w:val="auto"/>
          <w:sz w:val="28"/>
          <w:szCs w:val="28"/>
        </w:rPr>
        <w:t>7.2.2 资格审查小组将依据法律法规和招标文件第二章第3.1条的规定，对投标人的投标文件之资格审查部分进行审查，以确定其是否具备相应资格。</w:t>
      </w:r>
      <w:r>
        <w:rPr>
          <w:rFonts w:hint="eastAsia" w:ascii="仿宋_GB2312" w:hAnsi="宋体" w:eastAsia="仿宋_GB2312" w:cs="宋体"/>
          <w:color w:val="auto"/>
          <w:kern w:val="0"/>
          <w:sz w:val="28"/>
          <w:szCs w:val="28"/>
        </w:rPr>
        <w:t>如果投标人不具备资格、不满足招标文件所规定的资格条件,将按无效投标处理。</w:t>
      </w:r>
    </w:p>
    <w:p>
      <w:pPr>
        <w:tabs>
          <w:tab w:val="left" w:pos="0"/>
        </w:tabs>
        <w:adjustRightInd w:val="0"/>
        <w:snapToGrid w:val="0"/>
        <w:spacing w:line="360" w:lineRule="auto"/>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7.2.3 信用信息查询时间截至时点，见投标人须知前附表，其查询结果在投标人限定资格条件审查时使用。</w:t>
      </w:r>
    </w:p>
    <w:p>
      <w:pPr>
        <w:tabs>
          <w:tab w:val="left" w:pos="0"/>
        </w:tabs>
        <w:adjustRightInd w:val="0"/>
        <w:snapToGrid w:val="0"/>
        <w:spacing w:line="360" w:lineRule="auto"/>
        <w:ind w:firstLine="548" w:firstLineChars="196"/>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7.2.4 资格审查小组按下列程序进行资格审查：</w:t>
      </w:r>
    </w:p>
    <w:p>
      <w:pPr>
        <w:tabs>
          <w:tab w:val="left" w:pos="0"/>
        </w:tabs>
        <w:adjustRightInd w:val="0"/>
        <w:snapToGrid w:val="0"/>
        <w:spacing w:line="360" w:lineRule="auto"/>
        <w:ind w:firstLine="686" w:firstLineChars="245"/>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（1）投标人基本资格条件审查；</w:t>
      </w:r>
    </w:p>
    <w:p>
      <w:pPr>
        <w:tabs>
          <w:tab w:val="left" w:pos="0"/>
        </w:tabs>
        <w:adjustRightInd w:val="0"/>
        <w:snapToGrid w:val="0"/>
        <w:spacing w:line="360" w:lineRule="auto"/>
        <w:ind w:firstLine="686" w:firstLineChars="245"/>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（2）投标人</w:t>
      </w:r>
      <w:r>
        <w:rPr>
          <w:rFonts w:hint="eastAsia" w:ascii="仿宋_GB2312" w:hAnsi="宋体" w:eastAsia="仿宋_GB2312"/>
          <w:color w:val="auto"/>
          <w:sz w:val="28"/>
          <w:szCs w:val="28"/>
        </w:rPr>
        <w:t>落实政府采购政策资格条件审查（仅限专门面向中小企业采购的项目）；</w:t>
      </w:r>
    </w:p>
    <w:p>
      <w:pPr>
        <w:tabs>
          <w:tab w:val="left" w:pos="0"/>
        </w:tabs>
        <w:adjustRightInd w:val="0"/>
        <w:snapToGrid w:val="0"/>
        <w:spacing w:line="360" w:lineRule="auto"/>
        <w:ind w:firstLine="686" w:firstLineChars="245"/>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（3）投标人特定资格条件审查（如有）；</w:t>
      </w:r>
    </w:p>
    <w:p>
      <w:pPr>
        <w:tabs>
          <w:tab w:val="left" w:pos="0"/>
        </w:tabs>
        <w:adjustRightInd w:val="0"/>
        <w:snapToGrid w:val="0"/>
        <w:spacing w:line="360" w:lineRule="auto"/>
        <w:ind w:firstLine="686" w:firstLineChars="245"/>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（4）投标人限定资格条件审查；</w:t>
      </w:r>
    </w:p>
    <w:p>
      <w:pPr>
        <w:tabs>
          <w:tab w:val="left" w:pos="0"/>
        </w:tabs>
        <w:adjustRightInd w:val="0"/>
        <w:snapToGrid w:val="0"/>
        <w:spacing w:line="360" w:lineRule="auto"/>
        <w:ind w:firstLine="686" w:firstLineChars="245"/>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（5）编写投标人资格审查报告。</w:t>
      </w:r>
    </w:p>
    <w:p>
      <w:pPr>
        <w:tabs>
          <w:tab w:val="left" w:pos="0"/>
        </w:tabs>
        <w:adjustRightInd w:val="0"/>
        <w:snapToGrid w:val="0"/>
        <w:spacing w:line="360" w:lineRule="auto"/>
        <w:ind w:firstLine="568" w:firstLineChars="202"/>
        <w:rPr>
          <w:rFonts w:ascii="仿宋_GB2312" w:hAnsi="宋体" w:eastAsia="仿宋_GB2312" w:cs="宋体"/>
          <w:b/>
          <w:color w:val="auto"/>
          <w:kern w:val="0"/>
          <w:sz w:val="28"/>
          <w:szCs w:val="28"/>
        </w:rPr>
      </w:pPr>
      <w:r>
        <w:rPr>
          <w:rFonts w:hint="eastAsia" w:ascii="仿宋_GB2312" w:hAnsi="宋体" w:eastAsia="仿宋_GB2312" w:cs="宋体"/>
          <w:b/>
          <w:color w:val="auto"/>
          <w:kern w:val="0"/>
          <w:sz w:val="28"/>
          <w:szCs w:val="28"/>
        </w:rPr>
        <w:t>7.2.5 投标人基本资格条件的审查</w:t>
      </w:r>
    </w:p>
    <w:p>
      <w:pPr>
        <w:tabs>
          <w:tab w:val="left" w:pos="0"/>
        </w:tabs>
        <w:adjustRightInd w:val="0"/>
        <w:snapToGrid w:val="0"/>
        <w:spacing w:line="360" w:lineRule="auto"/>
        <w:ind w:firstLine="980" w:firstLineChars="35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7.2.5.1 审查方法：</w:t>
      </w:r>
    </w:p>
    <w:p>
      <w:pPr>
        <w:tabs>
          <w:tab w:val="left" w:pos="0"/>
        </w:tabs>
        <w:adjustRightInd w:val="0"/>
        <w:snapToGrid w:val="0"/>
        <w:spacing w:line="360" w:lineRule="auto"/>
        <w:ind w:firstLine="980" w:firstLineChars="35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（1）投标人属企业法人的，其3证合1或多证合1的营业执照，不审查原件，通过国家企业信用信息公示系统（http://www.gsxt.gov.cn/index.html）进行相关信息的核实；</w:t>
      </w:r>
    </w:p>
    <w:p>
      <w:pPr>
        <w:tabs>
          <w:tab w:val="left" w:pos="0"/>
        </w:tabs>
        <w:adjustRightInd w:val="0"/>
        <w:snapToGrid w:val="0"/>
        <w:spacing w:line="360" w:lineRule="auto"/>
        <w:ind w:firstLine="980" w:firstLineChars="35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（2）投标人属事业单位的，审查事业单位法人证书原件；</w:t>
      </w:r>
    </w:p>
    <w:p>
      <w:pPr>
        <w:tabs>
          <w:tab w:val="left" w:pos="0"/>
        </w:tabs>
        <w:adjustRightInd w:val="0"/>
        <w:snapToGrid w:val="0"/>
        <w:spacing w:line="360" w:lineRule="auto"/>
        <w:ind w:firstLine="980" w:firstLineChars="35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（3）投标人属于其他组织的（包括但不限于民办非企业单位登记证书、社会团体法人登记证书、基金会法人登记证书），审查登记证书原件；</w:t>
      </w:r>
    </w:p>
    <w:p>
      <w:pPr>
        <w:tabs>
          <w:tab w:val="left" w:pos="0"/>
        </w:tabs>
        <w:adjustRightInd w:val="0"/>
        <w:snapToGrid w:val="0"/>
        <w:spacing w:line="360" w:lineRule="auto"/>
        <w:ind w:firstLine="980" w:firstLineChars="35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（4）属于自然人的，审查身份证原件。</w:t>
      </w:r>
    </w:p>
    <w:p>
      <w:pPr>
        <w:tabs>
          <w:tab w:val="left" w:pos="0"/>
        </w:tabs>
        <w:adjustRightInd w:val="0"/>
        <w:snapToGrid w:val="0"/>
        <w:spacing w:line="360" w:lineRule="auto"/>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7.2.5.2 审查标准：</w:t>
      </w:r>
    </w:p>
    <w:p>
      <w:pPr>
        <w:tabs>
          <w:tab w:val="left" w:pos="0"/>
        </w:tabs>
        <w:adjustRightInd w:val="0"/>
        <w:snapToGrid w:val="0"/>
        <w:spacing w:line="360" w:lineRule="auto"/>
        <w:ind w:firstLine="1106" w:firstLineChars="395"/>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资格审查小组将按下表所列举的审查标准对投标人基本资格条件进行</w:t>
      </w:r>
      <w:r>
        <w:rPr>
          <w:rFonts w:hint="eastAsia" w:ascii="仿宋_GB2312" w:eastAsia="仿宋_GB2312" w:cs="宋体"/>
          <w:bCs/>
          <w:color w:val="auto"/>
          <w:sz w:val="28"/>
          <w:szCs w:val="28"/>
        </w:rPr>
        <w:t>审查，投标人若</w:t>
      </w:r>
      <w:r>
        <w:rPr>
          <w:rFonts w:hint="eastAsia" w:ascii="仿宋_GB2312" w:hAnsi="宋体" w:eastAsia="仿宋_GB2312" w:cs="宋体"/>
          <w:color w:val="auto"/>
          <w:kern w:val="0"/>
          <w:sz w:val="28"/>
          <w:szCs w:val="28"/>
        </w:rPr>
        <w:t>有一项不合格，即判定其基本资格条件审查结果为不合格，不具备投标资格，其投标无效。</w:t>
      </w:r>
    </w:p>
    <w:tbl>
      <w:tblPr>
        <w:tblStyle w:val="24"/>
        <w:tblW w:w="97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5051"/>
        <w:gridCol w:w="1409"/>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868" w:type="dxa"/>
            <w:tcBorders>
              <w:top w:val="single" w:color="auto" w:sz="12" w:space="0"/>
              <w:left w:val="single" w:color="auto" w:sz="12" w:space="0"/>
            </w:tcBorders>
            <w:vAlign w:val="center"/>
          </w:tcPr>
          <w:p>
            <w:pPr>
              <w:tabs>
                <w:tab w:val="left" w:pos="0"/>
              </w:tabs>
              <w:adjustRightInd w:val="0"/>
              <w:snapToGrid w:val="0"/>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序号</w:t>
            </w:r>
          </w:p>
        </w:tc>
        <w:tc>
          <w:tcPr>
            <w:tcW w:w="5051" w:type="dxa"/>
            <w:tcBorders>
              <w:top w:val="single" w:color="auto" w:sz="12" w:space="0"/>
            </w:tcBorders>
            <w:vAlign w:val="center"/>
          </w:tcPr>
          <w:p>
            <w:pPr>
              <w:tabs>
                <w:tab w:val="left" w:pos="0"/>
              </w:tabs>
              <w:adjustRightInd w:val="0"/>
              <w:snapToGrid w:val="0"/>
              <w:jc w:val="center"/>
              <w:rPr>
                <w:rFonts w:ascii="仿宋_GB2312" w:hAnsi="宋体" w:eastAsia="仿宋_GB2312" w:cs="宋体"/>
                <w:b/>
                <w:color w:val="auto"/>
                <w:kern w:val="0"/>
                <w:sz w:val="28"/>
                <w:szCs w:val="28"/>
              </w:rPr>
            </w:pPr>
            <w:r>
              <w:rPr>
                <w:rFonts w:hint="eastAsia" w:ascii="仿宋_GB2312" w:hAnsi="宋体" w:eastAsia="仿宋_GB2312" w:cs="宋体"/>
                <w:b/>
                <w:color w:val="auto"/>
                <w:kern w:val="0"/>
                <w:sz w:val="28"/>
                <w:szCs w:val="28"/>
              </w:rPr>
              <w:t>审查因素</w:t>
            </w:r>
          </w:p>
        </w:tc>
        <w:tc>
          <w:tcPr>
            <w:tcW w:w="1409" w:type="dxa"/>
            <w:tcBorders>
              <w:top w:val="single" w:color="auto" w:sz="12" w:space="0"/>
            </w:tcBorders>
            <w:vAlign w:val="center"/>
          </w:tcPr>
          <w:p>
            <w:pPr>
              <w:tabs>
                <w:tab w:val="left" w:pos="0"/>
              </w:tabs>
              <w:adjustRightInd w:val="0"/>
              <w:snapToGrid w:val="0"/>
              <w:jc w:val="center"/>
              <w:rPr>
                <w:rFonts w:ascii="仿宋_GB2312" w:hAnsi="宋体" w:eastAsia="仿宋_GB2312" w:cs="宋体"/>
                <w:b/>
                <w:color w:val="auto"/>
                <w:kern w:val="0"/>
                <w:sz w:val="28"/>
                <w:szCs w:val="28"/>
              </w:rPr>
            </w:pPr>
            <w:r>
              <w:rPr>
                <w:rFonts w:hint="eastAsia" w:ascii="仿宋_GB2312" w:hAnsi="宋体" w:eastAsia="仿宋_GB2312" w:cs="宋体"/>
                <w:b/>
                <w:color w:val="auto"/>
                <w:kern w:val="0"/>
                <w:sz w:val="28"/>
                <w:szCs w:val="28"/>
              </w:rPr>
              <w:t>审查标准</w:t>
            </w:r>
          </w:p>
        </w:tc>
        <w:tc>
          <w:tcPr>
            <w:tcW w:w="2396" w:type="dxa"/>
            <w:tcBorders>
              <w:top w:val="single" w:color="auto" w:sz="12" w:space="0"/>
              <w:right w:val="single" w:color="auto" w:sz="12" w:space="0"/>
            </w:tcBorders>
            <w:vAlign w:val="center"/>
          </w:tcPr>
          <w:p>
            <w:pPr>
              <w:tabs>
                <w:tab w:val="left" w:pos="0"/>
              </w:tabs>
              <w:adjustRightInd w:val="0"/>
              <w:snapToGrid w:val="0"/>
              <w:jc w:val="center"/>
              <w:rPr>
                <w:rFonts w:ascii="仿宋_GB2312" w:hAnsi="宋体" w:eastAsia="仿宋_GB2312" w:cs="宋体"/>
                <w:b/>
                <w:color w:val="auto"/>
                <w:kern w:val="0"/>
                <w:sz w:val="28"/>
                <w:szCs w:val="28"/>
              </w:rPr>
            </w:pPr>
            <w:r>
              <w:rPr>
                <w:rFonts w:hint="eastAsia" w:ascii="仿宋_GB2312" w:hAnsi="宋体" w:eastAsia="仿宋_GB2312" w:cs="宋体"/>
                <w:b/>
                <w:color w:val="auto"/>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68" w:type="dxa"/>
            <w:tcBorders>
              <w:left w:val="single" w:color="auto" w:sz="12" w:space="0"/>
            </w:tcBorders>
            <w:vAlign w:val="center"/>
          </w:tcPr>
          <w:p>
            <w:pPr>
              <w:tabs>
                <w:tab w:val="left" w:pos="0"/>
              </w:tabs>
              <w:adjustRightInd w:val="0"/>
              <w:snapToGrid w:val="0"/>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w:t>
            </w:r>
          </w:p>
        </w:tc>
        <w:tc>
          <w:tcPr>
            <w:tcW w:w="5051" w:type="dxa"/>
            <w:vAlign w:val="center"/>
          </w:tcPr>
          <w:p>
            <w:pPr>
              <w:tabs>
                <w:tab w:val="left" w:pos="0"/>
              </w:tabs>
              <w:adjustRightInd w:val="0"/>
              <w:snapToGrid w:val="0"/>
              <w:ind w:left="594" w:leftChars="-3" w:hanging="600" w:hangingChars="250"/>
              <w:rPr>
                <w:rFonts w:ascii="仿宋_GB2312" w:hAnsi="宋体" w:eastAsia="仿宋_GB2312" w:cs="宋体"/>
                <w:color w:val="auto"/>
                <w:kern w:val="0"/>
                <w:sz w:val="24"/>
              </w:rPr>
            </w:pPr>
            <w:r>
              <w:rPr>
                <w:rFonts w:hint="eastAsia" w:ascii="仿宋_GB2312" w:hAnsi="宋体" w:eastAsia="仿宋_GB2312" w:cs="宋体"/>
                <w:color w:val="auto"/>
                <w:kern w:val="0"/>
                <w:sz w:val="24"/>
              </w:rPr>
              <w:t>营业执照加盖公章复印件</w:t>
            </w:r>
          </w:p>
        </w:tc>
        <w:tc>
          <w:tcPr>
            <w:tcW w:w="1409" w:type="dxa"/>
            <w:vAlign w:val="center"/>
          </w:tcPr>
          <w:p>
            <w:pPr>
              <w:tabs>
                <w:tab w:val="left" w:pos="0"/>
              </w:tabs>
              <w:adjustRightInd w:val="0"/>
              <w:snapToGrid w:val="0"/>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合法有效</w:t>
            </w:r>
          </w:p>
        </w:tc>
        <w:tc>
          <w:tcPr>
            <w:tcW w:w="2396" w:type="dxa"/>
            <w:tcBorders>
              <w:right w:val="single" w:color="auto" w:sz="12" w:space="0"/>
            </w:tcBorders>
            <w:vAlign w:val="center"/>
          </w:tcPr>
          <w:p>
            <w:pPr>
              <w:tabs>
                <w:tab w:val="left" w:pos="0"/>
              </w:tabs>
              <w:adjustRightInd w:val="0"/>
              <w:snapToGrid w:val="0"/>
              <w:rPr>
                <w:rFonts w:ascii="仿宋_GB2312" w:hAnsi="宋体" w:eastAsia="仿宋_GB2312" w:cs="宋体"/>
                <w:color w:val="auto"/>
                <w:kern w:val="0"/>
                <w:sz w:val="24"/>
              </w:rPr>
            </w:pPr>
            <w:r>
              <w:rPr>
                <w:rFonts w:ascii="仿宋_GB2312" w:hAnsi="宋体" w:eastAsia="仿宋_GB2312" w:cs="宋体"/>
                <w:color w:val="auto"/>
                <w:kern w:val="0"/>
                <w:sz w:val="24"/>
              </w:rPr>
              <w:t>提供</w:t>
            </w:r>
            <w:r>
              <w:rPr>
                <w:rFonts w:hint="eastAsia" w:ascii="仿宋_GB2312" w:hAnsi="宋体" w:eastAsia="仿宋_GB2312" w:cs="宋体"/>
                <w:color w:val="auto"/>
                <w:kern w:val="0"/>
                <w:sz w:val="24"/>
              </w:rPr>
              <w:t>加盖公章</w:t>
            </w:r>
          </w:p>
          <w:p>
            <w:pPr>
              <w:tabs>
                <w:tab w:val="left" w:pos="0"/>
              </w:tabs>
              <w:adjustRightInd w:val="0"/>
              <w:snapToGrid w:val="0"/>
              <w:rPr>
                <w:rFonts w:ascii="仿宋_GB2312" w:hAnsi="宋体" w:eastAsia="仿宋_GB2312" w:cs="宋体"/>
                <w:color w:val="auto"/>
                <w:kern w:val="0"/>
                <w:sz w:val="24"/>
              </w:rPr>
            </w:pPr>
            <w:r>
              <w:rPr>
                <w:rFonts w:hint="eastAsia" w:ascii="仿宋_GB2312" w:hAnsi="宋体" w:eastAsia="仿宋_GB2312" w:cs="宋体"/>
                <w:color w:val="auto"/>
                <w:kern w:val="0"/>
                <w:sz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868" w:type="dxa"/>
            <w:tcBorders>
              <w:left w:val="single" w:color="auto" w:sz="12" w:space="0"/>
            </w:tcBorders>
            <w:vAlign w:val="center"/>
          </w:tcPr>
          <w:p>
            <w:pPr>
              <w:tabs>
                <w:tab w:val="left" w:pos="0"/>
              </w:tabs>
              <w:adjustRightInd w:val="0"/>
              <w:snapToGrid w:val="0"/>
              <w:spacing w:line="360" w:lineRule="auto"/>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w:t>
            </w:r>
          </w:p>
        </w:tc>
        <w:tc>
          <w:tcPr>
            <w:tcW w:w="5051" w:type="dxa"/>
            <w:vAlign w:val="center"/>
          </w:tcPr>
          <w:p>
            <w:pPr>
              <w:tabs>
                <w:tab w:val="left" w:pos="0"/>
              </w:tabs>
              <w:adjustRightInd w:val="0"/>
              <w:snapToGrid w:val="0"/>
              <w:rPr>
                <w:rFonts w:ascii="仿宋_GB2312" w:hAnsi="宋体" w:eastAsia="仿宋_GB2312" w:cs="宋体"/>
                <w:color w:val="auto"/>
                <w:kern w:val="0"/>
                <w:sz w:val="24"/>
              </w:rPr>
            </w:pPr>
            <w:r>
              <w:rPr>
                <w:rFonts w:hint="eastAsia" w:ascii="仿宋_GB2312" w:hAnsi="宋体" w:eastAsia="仿宋_GB2312" w:cs="宋体"/>
                <w:color w:val="auto"/>
                <w:kern w:val="0"/>
                <w:sz w:val="24"/>
              </w:rPr>
              <w:t>(1)法定代表人（负责人）参加投标的：提供法定代表人（负责人）身份证明及身份证</w:t>
            </w:r>
          </w:p>
          <w:p>
            <w:pPr>
              <w:tabs>
                <w:tab w:val="left" w:pos="0"/>
              </w:tabs>
              <w:adjustRightInd w:val="0"/>
              <w:snapToGrid w:val="0"/>
              <w:rPr>
                <w:rFonts w:ascii="仿宋_GB2312" w:hAnsi="宋体" w:eastAsia="仿宋_GB2312" w:cs="宋体"/>
                <w:color w:val="auto"/>
                <w:kern w:val="0"/>
                <w:sz w:val="24"/>
              </w:rPr>
            </w:pPr>
            <w:r>
              <w:rPr>
                <w:rFonts w:hint="eastAsia" w:ascii="仿宋_GB2312" w:hAnsi="宋体" w:eastAsia="仿宋_GB2312" w:cs="宋体"/>
                <w:color w:val="auto"/>
                <w:kern w:val="0"/>
                <w:sz w:val="24"/>
              </w:rPr>
              <w:t>(2)委托代理人参加投标的：提供法定代表人授权委托书及委托代理人身份证</w:t>
            </w:r>
          </w:p>
          <w:p>
            <w:pPr>
              <w:tabs>
                <w:tab w:val="left" w:pos="0"/>
              </w:tabs>
              <w:adjustRightInd w:val="0"/>
              <w:snapToGrid w:val="0"/>
              <w:rPr>
                <w:rFonts w:ascii="仿宋_GB2312" w:hAnsi="宋体" w:eastAsia="仿宋_GB2312" w:cs="宋体"/>
                <w:color w:val="auto"/>
                <w:kern w:val="0"/>
                <w:sz w:val="24"/>
              </w:rPr>
            </w:pPr>
            <w:r>
              <w:rPr>
                <w:rFonts w:hint="eastAsia" w:ascii="仿宋_GB2312" w:hAnsi="宋体" w:eastAsia="仿宋_GB2312" w:cs="宋体"/>
                <w:color w:val="auto"/>
                <w:kern w:val="0"/>
                <w:sz w:val="24"/>
              </w:rPr>
              <w:t>法定代表人（负责人）身份证明或法定代表人授权委托书应按要求附在投标文件中，投标文件正本与副本不一致时，以正本为准。</w:t>
            </w:r>
          </w:p>
          <w:p>
            <w:pPr>
              <w:tabs>
                <w:tab w:val="left" w:pos="0"/>
              </w:tabs>
              <w:adjustRightInd w:val="0"/>
              <w:snapToGrid w:val="0"/>
              <w:rPr>
                <w:rFonts w:ascii="仿宋_GB2312" w:hAnsi="宋体" w:eastAsia="仿宋_GB2312" w:cs="宋体"/>
                <w:color w:val="auto"/>
                <w:kern w:val="0"/>
                <w:sz w:val="24"/>
              </w:rPr>
            </w:pPr>
            <w:r>
              <w:rPr>
                <w:rFonts w:hint="eastAsia" w:ascii="仿宋_GB2312" w:hAnsi="宋体" w:eastAsia="仿宋_GB2312" w:cs="宋体"/>
                <w:color w:val="auto"/>
                <w:kern w:val="0"/>
                <w:sz w:val="24"/>
              </w:rPr>
              <w:t>法定代表人授权委托书中有“法定代表人或委托代理人未要求签字或盖章”或法定代表人授权委托书未盖公章情形者，其法定代表人授权委托书按无效处理。</w:t>
            </w:r>
          </w:p>
        </w:tc>
        <w:tc>
          <w:tcPr>
            <w:tcW w:w="1409" w:type="dxa"/>
            <w:vAlign w:val="center"/>
          </w:tcPr>
          <w:p>
            <w:pPr>
              <w:tabs>
                <w:tab w:val="left" w:pos="0"/>
              </w:tabs>
              <w:adjustRightInd w:val="0"/>
              <w:snapToGrid w:val="0"/>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合法有效</w:t>
            </w:r>
          </w:p>
        </w:tc>
        <w:tc>
          <w:tcPr>
            <w:tcW w:w="2396" w:type="dxa"/>
            <w:tcBorders>
              <w:right w:val="single" w:color="auto" w:sz="12" w:space="0"/>
            </w:tcBorders>
            <w:vAlign w:val="center"/>
          </w:tcPr>
          <w:p>
            <w:pPr>
              <w:tabs>
                <w:tab w:val="left" w:pos="0"/>
              </w:tabs>
              <w:adjustRightInd w:val="0"/>
              <w:snapToGrid w:val="0"/>
              <w:rPr>
                <w:rFonts w:ascii="仿宋_GB2312" w:hAnsi="宋体" w:eastAsia="仿宋_GB2312" w:cs="宋体"/>
                <w:color w:val="auto"/>
                <w:kern w:val="0"/>
                <w:sz w:val="24"/>
              </w:rPr>
            </w:pPr>
            <w:r>
              <w:rPr>
                <w:rFonts w:hint="eastAsia" w:ascii="仿宋_GB2312" w:hAnsi="宋体" w:eastAsia="仿宋_GB2312" w:cs="宋体"/>
                <w:color w:val="auto"/>
                <w:kern w:val="0"/>
                <w:sz w:val="24"/>
              </w:rPr>
              <w:t>法定代表人参加投标的应提供法定代表人身份证原件备查；委托代理人参加投标的应提供委托代理人身份证原件备查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868" w:type="dxa"/>
            <w:tcBorders>
              <w:left w:val="single" w:color="auto" w:sz="12" w:space="0"/>
            </w:tcBorders>
            <w:vAlign w:val="center"/>
          </w:tcPr>
          <w:p>
            <w:pPr>
              <w:tabs>
                <w:tab w:val="left" w:pos="0"/>
              </w:tabs>
              <w:adjustRightInd w:val="0"/>
              <w:snapToGrid w:val="0"/>
              <w:spacing w:line="360" w:lineRule="auto"/>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w:t>
            </w:r>
          </w:p>
        </w:tc>
        <w:tc>
          <w:tcPr>
            <w:tcW w:w="5051" w:type="dxa"/>
            <w:vAlign w:val="center"/>
          </w:tcPr>
          <w:p>
            <w:pPr>
              <w:tabs>
                <w:tab w:val="left" w:pos="0"/>
              </w:tabs>
              <w:adjustRightInd w:val="0"/>
              <w:snapToGrid w:val="0"/>
              <w:rPr>
                <w:rFonts w:ascii="仿宋_GB2312" w:hAnsi="宋体" w:eastAsia="仿宋_GB2312" w:cs="宋体"/>
                <w:color w:val="auto"/>
                <w:kern w:val="0"/>
                <w:sz w:val="24"/>
              </w:rPr>
            </w:pPr>
            <w:r>
              <w:rPr>
                <w:rFonts w:hint="eastAsia" w:ascii="仿宋_GB2312" w:hAnsi="宋体" w:eastAsia="仿宋_GB2312" w:cs="宋体"/>
                <w:color w:val="auto"/>
                <w:kern w:val="0"/>
                <w:sz w:val="24"/>
              </w:rPr>
              <w:t>投标人</w:t>
            </w:r>
            <w:r>
              <w:rPr>
                <w:rFonts w:hint="eastAsia" w:ascii="仿宋_GB2312" w:hAnsi="宋体" w:eastAsia="仿宋_GB2312"/>
                <w:color w:val="auto"/>
                <w:sz w:val="24"/>
              </w:rPr>
              <w:t>2019或2020年度财务审计报告或本项目招标公告日至投标文件递交截止时间期间开户银行出具的资信证明</w:t>
            </w:r>
          </w:p>
        </w:tc>
        <w:tc>
          <w:tcPr>
            <w:tcW w:w="1409" w:type="dxa"/>
            <w:vAlign w:val="center"/>
          </w:tcPr>
          <w:p>
            <w:pPr>
              <w:tabs>
                <w:tab w:val="left" w:pos="0"/>
              </w:tabs>
              <w:adjustRightInd w:val="0"/>
              <w:snapToGrid w:val="0"/>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合法有效</w:t>
            </w:r>
          </w:p>
        </w:tc>
        <w:tc>
          <w:tcPr>
            <w:tcW w:w="2396" w:type="dxa"/>
            <w:tcBorders>
              <w:right w:val="single" w:color="auto" w:sz="12" w:space="0"/>
            </w:tcBorders>
            <w:vAlign w:val="center"/>
          </w:tcPr>
          <w:p>
            <w:pPr>
              <w:tabs>
                <w:tab w:val="left" w:pos="0"/>
              </w:tabs>
              <w:adjustRightInd w:val="0"/>
              <w:snapToGrid w:val="0"/>
              <w:rPr>
                <w:rFonts w:ascii="仿宋_GB2312" w:hAnsi="宋体" w:eastAsia="仿宋_GB2312" w:cs="宋体"/>
                <w:color w:val="auto"/>
                <w:kern w:val="0"/>
                <w:sz w:val="24"/>
              </w:rPr>
            </w:pPr>
            <w:r>
              <w:rPr>
                <w:rFonts w:hint="eastAsia" w:ascii="仿宋_GB2312" w:hAnsi="宋体" w:eastAsia="仿宋_GB2312" w:cs="宋体"/>
                <w:color w:val="auto"/>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68" w:type="dxa"/>
            <w:tcBorders>
              <w:left w:val="single" w:color="auto" w:sz="12" w:space="0"/>
            </w:tcBorders>
            <w:vAlign w:val="center"/>
          </w:tcPr>
          <w:p>
            <w:pPr>
              <w:tabs>
                <w:tab w:val="left" w:pos="0"/>
              </w:tabs>
              <w:adjustRightInd w:val="0"/>
              <w:snapToGrid w:val="0"/>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4</w:t>
            </w:r>
          </w:p>
        </w:tc>
        <w:tc>
          <w:tcPr>
            <w:tcW w:w="5051" w:type="dxa"/>
            <w:vAlign w:val="center"/>
          </w:tcPr>
          <w:p>
            <w:pPr>
              <w:tabs>
                <w:tab w:val="left" w:pos="0"/>
              </w:tabs>
              <w:adjustRightInd w:val="0"/>
              <w:snapToGrid w:val="0"/>
              <w:rPr>
                <w:rFonts w:ascii="仿宋_GB2312" w:hAnsi="宋体" w:eastAsia="仿宋_GB2312" w:cs="宋体"/>
                <w:color w:val="auto"/>
                <w:kern w:val="0"/>
                <w:sz w:val="24"/>
              </w:rPr>
            </w:pPr>
            <w:r>
              <w:rPr>
                <w:rFonts w:hint="eastAsia" w:ascii="仿宋_GB2312" w:hAnsi="宋体" w:eastAsia="仿宋_GB2312" w:cs="宋体"/>
                <w:color w:val="auto"/>
                <w:kern w:val="0"/>
                <w:sz w:val="24"/>
              </w:rPr>
              <w:t>完税证明</w:t>
            </w:r>
          </w:p>
        </w:tc>
        <w:tc>
          <w:tcPr>
            <w:tcW w:w="1409" w:type="dxa"/>
            <w:vAlign w:val="center"/>
          </w:tcPr>
          <w:p>
            <w:pPr>
              <w:tabs>
                <w:tab w:val="left" w:pos="0"/>
              </w:tabs>
              <w:adjustRightInd w:val="0"/>
              <w:snapToGrid w:val="0"/>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合法有效</w:t>
            </w:r>
          </w:p>
        </w:tc>
        <w:tc>
          <w:tcPr>
            <w:tcW w:w="2396" w:type="dxa"/>
            <w:tcBorders>
              <w:right w:val="single" w:color="auto" w:sz="12" w:space="0"/>
            </w:tcBorders>
            <w:vAlign w:val="center"/>
          </w:tcPr>
          <w:p>
            <w:pPr>
              <w:tabs>
                <w:tab w:val="left" w:pos="0"/>
              </w:tabs>
              <w:adjustRightInd w:val="0"/>
              <w:snapToGrid w:val="0"/>
              <w:rPr>
                <w:rFonts w:ascii="仿宋_GB2312" w:hAnsi="宋体" w:eastAsia="仿宋_GB2312" w:cs="宋体"/>
                <w:color w:val="auto"/>
                <w:kern w:val="0"/>
                <w:sz w:val="24"/>
              </w:rPr>
            </w:pPr>
            <w:r>
              <w:rPr>
                <w:rFonts w:ascii="仿宋_GB2312" w:hAnsi="宋体" w:eastAsia="仿宋_GB2312" w:cs="宋体"/>
                <w:color w:val="auto"/>
                <w:kern w:val="0"/>
                <w:sz w:val="24"/>
              </w:rPr>
              <w:t>提供</w:t>
            </w:r>
            <w:r>
              <w:rPr>
                <w:rFonts w:hint="eastAsia" w:ascii="仿宋_GB2312" w:hAnsi="宋体" w:eastAsia="仿宋_GB2312" w:cs="宋体"/>
                <w:color w:val="auto"/>
                <w:kern w:val="0"/>
                <w:sz w:val="24"/>
              </w:rPr>
              <w:t>加盖公章</w:t>
            </w:r>
          </w:p>
          <w:p>
            <w:pPr>
              <w:tabs>
                <w:tab w:val="left" w:pos="0"/>
              </w:tabs>
              <w:adjustRightInd w:val="0"/>
              <w:snapToGrid w:val="0"/>
              <w:rPr>
                <w:rFonts w:ascii="仿宋_GB2312" w:hAnsi="宋体" w:eastAsia="仿宋_GB2312" w:cs="宋体"/>
                <w:color w:val="auto"/>
                <w:kern w:val="0"/>
                <w:sz w:val="24"/>
              </w:rPr>
            </w:pPr>
            <w:r>
              <w:rPr>
                <w:rFonts w:hint="eastAsia" w:ascii="仿宋_GB2312" w:hAnsi="宋体" w:eastAsia="仿宋_GB2312" w:cs="宋体"/>
                <w:color w:val="auto"/>
                <w:kern w:val="0"/>
                <w:sz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868" w:type="dxa"/>
            <w:tcBorders>
              <w:left w:val="single" w:color="auto" w:sz="12" w:space="0"/>
            </w:tcBorders>
            <w:vAlign w:val="center"/>
          </w:tcPr>
          <w:p>
            <w:pPr>
              <w:tabs>
                <w:tab w:val="left" w:pos="0"/>
              </w:tabs>
              <w:adjustRightInd w:val="0"/>
              <w:snapToGrid w:val="0"/>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5</w:t>
            </w:r>
          </w:p>
        </w:tc>
        <w:tc>
          <w:tcPr>
            <w:tcW w:w="5051" w:type="dxa"/>
            <w:vAlign w:val="center"/>
          </w:tcPr>
          <w:p>
            <w:pPr>
              <w:tabs>
                <w:tab w:val="left" w:pos="0"/>
              </w:tabs>
              <w:adjustRightInd w:val="0"/>
              <w:snapToGrid w:val="0"/>
              <w:rPr>
                <w:rFonts w:ascii="仿宋_GB2312" w:hAnsi="宋体" w:eastAsia="仿宋_GB2312" w:cs="宋体"/>
                <w:color w:val="auto"/>
                <w:kern w:val="0"/>
                <w:sz w:val="24"/>
              </w:rPr>
            </w:pPr>
            <w:r>
              <w:rPr>
                <w:rFonts w:hint="eastAsia" w:ascii="仿宋_GB2312" w:hAnsi="宋体" w:eastAsia="仿宋_GB2312" w:cs="宋体"/>
                <w:color w:val="auto"/>
                <w:kern w:val="0"/>
                <w:sz w:val="24"/>
              </w:rPr>
              <w:t>社会保险参保缴费情况证明</w:t>
            </w:r>
          </w:p>
        </w:tc>
        <w:tc>
          <w:tcPr>
            <w:tcW w:w="1409" w:type="dxa"/>
            <w:vAlign w:val="center"/>
          </w:tcPr>
          <w:p>
            <w:pPr>
              <w:tabs>
                <w:tab w:val="left" w:pos="0"/>
              </w:tabs>
              <w:adjustRightInd w:val="0"/>
              <w:snapToGrid w:val="0"/>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合法有效</w:t>
            </w:r>
          </w:p>
        </w:tc>
        <w:tc>
          <w:tcPr>
            <w:tcW w:w="2396" w:type="dxa"/>
            <w:tcBorders>
              <w:right w:val="single" w:color="auto" w:sz="12" w:space="0"/>
            </w:tcBorders>
            <w:vAlign w:val="center"/>
          </w:tcPr>
          <w:p>
            <w:pPr>
              <w:tabs>
                <w:tab w:val="left" w:pos="0"/>
              </w:tabs>
              <w:adjustRightInd w:val="0"/>
              <w:snapToGrid w:val="0"/>
              <w:rPr>
                <w:rFonts w:ascii="仿宋_GB2312" w:hAnsi="宋体" w:eastAsia="仿宋_GB2312" w:cs="宋体"/>
                <w:color w:val="auto"/>
                <w:kern w:val="0"/>
                <w:sz w:val="24"/>
              </w:rPr>
            </w:pPr>
            <w:r>
              <w:rPr>
                <w:rFonts w:ascii="仿宋_GB2312" w:hAnsi="宋体" w:eastAsia="仿宋_GB2312" w:cs="宋体"/>
                <w:color w:val="auto"/>
                <w:kern w:val="0"/>
                <w:sz w:val="24"/>
              </w:rPr>
              <w:t>提供</w:t>
            </w:r>
            <w:r>
              <w:rPr>
                <w:rFonts w:hint="eastAsia" w:ascii="仿宋_GB2312" w:hAnsi="宋体" w:eastAsia="仿宋_GB2312" w:cs="宋体"/>
                <w:color w:val="auto"/>
                <w:kern w:val="0"/>
                <w:sz w:val="24"/>
              </w:rPr>
              <w:t>加盖公章</w:t>
            </w:r>
          </w:p>
          <w:p>
            <w:pPr>
              <w:tabs>
                <w:tab w:val="left" w:pos="0"/>
              </w:tabs>
              <w:adjustRightInd w:val="0"/>
              <w:snapToGrid w:val="0"/>
              <w:rPr>
                <w:rFonts w:ascii="仿宋_GB2312" w:hAnsi="宋体" w:eastAsia="仿宋_GB2312" w:cs="宋体"/>
                <w:color w:val="auto"/>
                <w:kern w:val="0"/>
                <w:sz w:val="24"/>
              </w:rPr>
            </w:pPr>
            <w:r>
              <w:rPr>
                <w:rFonts w:hint="eastAsia" w:ascii="仿宋_GB2312" w:hAnsi="宋体" w:eastAsia="仿宋_GB2312" w:cs="宋体"/>
                <w:color w:val="auto"/>
                <w:kern w:val="0"/>
                <w:sz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868" w:type="dxa"/>
            <w:tcBorders>
              <w:left w:val="single" w:color="auto" w:sz="12" w:space="0"/>
            </w:tcBorders>
            <w:vAlign w:val="center"/>
          </w:tcPr>
          <w:p>
            <w:pPr>
              <w:tabs>
                <w:tab w:val="left" w:pos="0"/>
              </w:tabs>
              <w:adjustRightInd w:val="0"/>
              <w:snapToGrid w:val="0"/>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6</w:t>
            </w:r>
          </w:p>
        </w:tc>
        <w:tc>
          <w:tcPr>
            <w:tcW w:w="5051" w:type="dxa"/>
            <w:vAlign w:val="center"/>
          </w:tcPr>
          <w:p>
            <w:pPr>
              <w:tabs>
                <w:tab w:val="left" w:pos="0"/>
              </w:tabs>
              <w:adjustRightInd w:val="0"/>
              <w:snapToGrid w:val="0"/>
              <w:rPr>
                <w:rFonts w:ascii="仿宋_GB2312" w:hAnsi="宋体" w:eastAsia="仿宋_GB2312" w:cs="宋体"/>
                <w:color w:val="auto"/>
                <w:kern w:val="0"/>
                <w:sz w:val="24"/>
              </w:rPr>
            </w:pPr>
            <w:r>
              <w:rPr>
                <w:rFonts w:hint="eastAsia" w:ascii="仿宋_GB2312" w:hAnsi="宋体" w:eastAsia="仿宋_GB2312" w:cs="宋体"/>
                <w:color w:val="auto"/>
                <w:kern w:val="0"/>
                <w:sz w:val="24"/>
              </w:rPr>
              <w:t>履行合同所必需的设备和专业技术能力承诺函</w:t>
            </w:r>
          </w:p>
        </w:tc>
        <w:tc>
          <w:tcPr>
            <w:tcW w:w="1409" w:type="dxa"/>
            <w:vAlign w:val="center"/>
          </w:tcPr>
          <w:p>
            <w:pPr>
              <w:tabs>
                <w:tab w:val="left" w:pos="0"/>
              </w:tabs>
              <w:adjustRightInd w:val="0"/>
              <w:snapToGrid w:val="0"/>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符合要求</w:t>
            </w:r>
          </w:p>
        </w:tc>
        <w:tc>
          <w:tcPr>
            <w:tcW w:w="2396" w:type="dxa"/>
            <w:tcBorders>
              <w:right w:val="single" w:color="auto" w:sz="12" w:space="0"/>
            </w:tcBorders>
            <w:vAlign w:val="center"/>
          </w:tcPr>
          <w:p>
            <w:pPr>
              <w:tabs>
                <w:tab w:val="left" w:pos="0"/>
              </w:tabs>
              <w:adjustRightInd w:val="0"/>
              <w:snapToGrid w:val="0"/>
              <w:rPr>
                <w:rFonts w:ascii="仿宋_GB2312" w:hAnsi="宋体" w:eastAsia="仿宋_GB2312" w:cs="宋体"/>
                <w:color w:val="auto"/>
                <w:kern w:val="0"/>
                <w:sz w:val="24"/>
              </w:rPr>
            </w:pPr>
            <w:r>
              <w:rPr>
                <w:rFonts w:ascii="仿宋_GB2312" w:hAnsi="宋体" w:eastAsia="仿宋_GB2312" w:cs="宋体"/>
                <w:color w:val="auto"/>
                <w:kern w:val="0"/>
                <w:sz w:val="24"/>
              </w:rPr>
              <w:t>提供</w:t>
            </w:r>
            <w:r>
              <w:rPr>
                <w:rFonts w:hint="eastAsia" w:ascii="仿宋_GB2312" w:hAnsi="宋体" w:eastAsia="仿宋_GB2312" w:cs="宋体"/>
                <w:color w:val="auto"/>
                <w:kern w:val="0"/>
                <w:sz w:val="24"/>
              </w:rPr>
              <w:t>加盖公章</w:t>
            </w:r>
          </w:p>
          <w:p>
            <w:pPr>
              <w:tabs>
                <w:tab w:val="left" w:pos="0"/>
              </w:tabs>
              <w:adjustRightInd w:val="0"/>
              <w:snapToGrid w:val="0"/>
              <w:rPr>
                <w:rFonts w:ascii="仿宋_GB2312" w:hAnsi="宋体" w:eastAsia="仿宋_GB2312" w:cs="宋体"/>
                <w:color w:val="auto"/>
                <w:kern w:val="0"/>
                <w:sz w:val="24"/>
              </w:rPr>
            </w:pPr>
            <w:r>
              <w:rPr>
                <w:rFonts w:hint="eastAsia" w:ascii="仿宋_GB2312" w:hAnsi="宋体" w:eastAsia="仿宋_GB2312" w:cs="宋体"/>
                <w:color w:val="auto"/>
                <w:kern w:val="0"/>
                <w:sz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868" w:type="dxa"/>
            <w:tcBorders>
              <w:left w:val="single" w:color="auto" w:sz="12" w:space="0"/>
              <w:bottom w:val="single" w:color="auto" w:sz="12" w:space="0"/>
            </w:tcBorders>
            <w:vAlign w:val="center"/>
          </w:tcPr>
          <w:p>
            <w:pPr>
              <w:tabs>
                <w:tab w:val="left" w:pos="0"/>
              </w:tabs>
              <w:adjustRightInd w:val="0"/>
              <w:snapToGrid w:val="0"/>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7</w:t>
            </w:r>
          </w:p>
        </w:tc>
        <w:tc>
          <w:tcPr>
            <w:tcW w:w="5051" w:type="dxa"/>
            <w:tcBorders>
              <w:bottom w:val="single" w:color="auto" w:sz="12" w:space="0"/>
            </w:tcBorders>
            <w:vAlign w:val="center"/>
          </w:tcPr>
          <w:p>
            <w:pPr>
              <w:tabs>
                <w:tab w:val="left" w:pos="0"/>
              </w:tabs>
              <w:adjustRightInd w:val="0"/>
              <w:snapToGrid w:val="0"/>
              <w:rPr>
                <w:rFonts w:ascii="仿宋_GB2312" w:hAnsi="宋体" w:eastAsia="仿宋_GB2312" w:cs="宋体"/>
                <w:color w:val="auto"/>
                <w:kern w:val="0"/>
                <w:sz w:val="24"/>
              </w:rPr>
            </w:pPr>
            <w:r>
              <w:rPr>
                <w:rFonts w:hint="eastAsia" w:ascii="仿宋_GB2312" w:hAnsi="宋体" w:eastAsia="仿宋_GB2312" w:cs="宋体"/>
                <w:color w:val="auto"/>
                <w:kern w:val="0"/>
                <w:sz w:val="24"/>
              </w:rPr>
              <w:t>参加政府采购活动前3年内在经营活动中没有重大违法记录的书面声明</w:t>
            </w:r>
          </w:p>
        </w:tc>
        <w:tc>
          <w:tcPr>
            <w:tcW w:w="1409" w:type="dxa"/>
            <w:tcBorders>
              <w:bottom w:val="single" w:color="auto" w:sz="12" w:space="0"/>
            </w:tcBorders>
            <w:vAlign w:val="center"/>
          </w:tcPr>
          <w:p>
            <w:pPr>
              <w:tabs>
                <w:tab w:val="left" w:pos="0"/>
              </w:tabs>
              <w:adjustRightInd w:val="0"/>
              <w:snapToGrid w:val="0"/>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合法有效</w:t>
            </w:r>
          </w:p>
        </w:tc>
        <w:tc>
          <w:tcPr>
            <w:tcW w:w="2396" w:type="dxa"/>
            <w:tcBorders>
              <w:bottom w:val="single" w:color="auto" w:sz="12" w:space="0"/>
              <w:right w:val="single" w:color="auto" w:sz="12" w:space="0"/>
            </w:tcBorders>
            <w:vAlign w:val="center"/>
          </w:tcPr>
          <w:p>
            <w:pPr>
              <w:tabs>
                <w:tab w:val="left" w:pos="0"/>
              </w:tabs>
              <w:adjustRightInd w:val="0"/>
              <w:snapToGrid w:val="0"/>
              <w:rPr>
                <w:rFonts w:ascii="仿宋_GB2312" w:hAnsi="宋体" w:eastAsia="仿宋_GB2312" w:cs="宋体"/>
                <w:color w:val="auto"/>
                <w:kern w:val="0"/>
                <w:sz w:val="24"/>
              </w:rPr>
            </w:pPr>
          </w:p>
        </w:tc>
      </w:tr>
    </w:tbl>
    <w:p>
      <w:pPr>
        <w:tabs>
          <w:tab w:val="left" w:pos="0"/>
        </w:tabs>
        <w:adjustRightInd w:val="0"/>
        <w:snapToGrid w:val="0"/>
        <w:spacing w:beforeLines="100" w:line="360" w:lineRule="auto"/>
        <w:ind w:firstLine="689" w:firstLineChars="245"/>
        <w:rPr>
          <w:rFonts w:ascii="仿宋_GB2312" w:hAnsi="宋体" w:eastAsia="仿宋_GB2312" w:cs="宋体"/>
          <w:b/>
          <w:color w:val="auto"/>
          <w:kern w:val="0"/>
          <w:sz w:val="28"/>
          <w:szCs w:val="28"/>
        </w:rPr>
      </w:pPr>
      <w:r>
        <w:rPr>
          <w:rFonts w:hint="eastAsia" w:ascii="仿宋_GB2312" w:hAnsi="宋体" w:eastAsia="仿宋_GB2312" w:cs="宋体"/>
          <w:b/>
          <w:color w:val="auto"/>
          <w:kern w:val="0"/>
          <w:sz w:val="28"/>
          <w:szCs w:val="28"/>
        </w:rPr>
        <w:t>7.2.6 投标人落实政府采购政策资格条件审查</w:t>
      </w:r>
    </w:p>
    <w:p>
      <w:pPr>
        <w:tabs>
          <w:tab w:val="left" w:pos="0"/>
        </w:tabs>
        <w:adjustRightInd w:val="0"/>
        <w:snapToGrid w:val="0"/>
        <w:spacing w:line="360" w:lineRule="auto"/>
        <w:ind w:firstLine="700" w:firstLineChars="25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本项目为未预留份额专门面向中小企业的采购项目（包），无落实政府采购政策资格条件审查内容。</w:t>
      </w:r>
    </w:p>
    <w:p>
      <w:pPr>
        <w:tabs>
          <w:tab w:val="left" w:pos="0"/>
        </w:tabs>
        <w:adjustRightInd w:val="0"/>
        <w:snapToGrid w:val="0"/>
        <w:spacing w:line="360" w:lineRule="auto"/>
        <w:ind w:firstLine="405"/>
        <w:rPr>
          <w:rFonts w:ascii="仿宋_GB2312" w:hAnsi="宋体" w:eastAsia="仿宋_GB2312" w:cs="宋体"/>
          <w:b/>
          <w:color w:val="auto"/>
          <w:kern w:val="0"/>
          <w:sz w:val="28"/>
          <w:szCs w:val="28"/>
        </w:rPr>
      </w:pPr>
      <w:r>
        <w:rPr>
          <w:rFonts w:hint="eastAsia" w:ascii="仿宋_GB2312" w:hAnsi="宋体" w:eastAsia="仿宋_GB2312" w:cs="宋体"/>
          <w:b/>
          <w:color w:val="auto"/>
          <w:kern w:val="0"/>
          <w:sz w:val="28"/>
          <w:szCs w:val="28"/>
        </w:rPr>
        <w:t xml:space="preserve">  7.2.7 投标人特定资格条件审查</w:t>
      </w:r>
    </w:p>
    <w:p>
      <w:pPr>
        <w:tabs>
          <w:tab w:val="left" w:pos="0"/>
          <w:tab w:val="left" w:pos="709"/>
        </w:tabs>
        <w:adjustRightInd w:val="0"/>
        <w:snapToGrid w:val="0"/>
        <w:spacing w:line="360" w:lineRule="auto"/>
        <w:ind w:firstLine="562" w:firstLineChars="200"/>
        <w:rPr>
          <w:rFonts w:ascii="仿宋_GB2312" w:hAnsi="宋体" w:eastAsia="仿宋_GB2312" w:cs="宋体"/>
          <w:color w:val="auto"/>
          <w:kern w:val="0"/>
          <w:sz w:val="28"/>
          <w:szCs w:val="28"/>
          <w:u w:val="single"/>
        </w:rPr>
      </w:pPr>
      <w:r>
        <w:rPr>
          <w:rFonts w:hint="eastAsia" w:ascii="仿宋_GB2312" w:hAnsi="宋体" w:eastAsia="仿宋_GB2312" w:cs="宋体"/>
          <w:b/>
          <w:color w:val="auto"/>
          <w:kern w:val="0"/>
          <w:sz w:val="28"/>
          <w:szCs w:val="28"/>
        </w:rPr>
        <w:t xml:space="preserve"> </w:t>
      </w:r>
      <w:r>
        <w:rPr>
          <w:rFonts w:hint="eastAsia" w:ascii="仿宋_GB2312" w:hAnsi="宋体" w:eastAsia="仿宋_GB2312" w:cs="宋体"/>
          <w:color w:val="auto"/>
          <w:kern w:val="0"/>
          <w:sz w:val="28"/>
          <w:szCs w:val="28"/>
        </w:rPr>
        <w:t>7.2.7.1 本项目投标人特定资格条件的审查方法和标准如下：</w:t>
      </w:r>
      <w:r>
        <w:rPr>
          <w:rFonts w:hint="eastAsia" w:ascii="仿宋_GB2312" w:hAnsi="宋体" w:eastAsia="仿宋_GB2312" w:cs="宋体"/>
          <w:color w:val="auto"/>
          <w:kern w:val="0"/>
          <w:sz w:val="28"/>
          <w:szCs w:val="28"/>
          <w:u w:val="single"/>
        </w:rPr>
        <w:t xml:space="preserve">  /   </w:t>
      </w:r>
      <w:r>
        <w:rPr>
          <w:rFonts w:hint="eastAsia" w:ascii="仿宋_GB2312" w:hAnsi="宋体" w:eastAsia="仿宋_GB2312" w:cs="宋体"/>
          <w:color w:val="auto"/>
          <w:kern w:val="0"/>
          <w:sz w:val="28"/>
          <w:szCs w:val="28"/>
        </w:rPr>
        <w:t>。</w:t>
      </w:r>
    </w:p>
    <w:p>
      <w:pPr>
        <w:tabs>
          <w:tab w:val="left" w:pos="0"/>
          <w:tab w:val="left" w:pos="709"/>
        </w:tabs>
        <w:adjustRightInd w:val="0"/>
        <w:snapToGrid w:val="0"/>
        <w:spacing w:line="360" w:lineRule="auto"/>
        <w:ind w:firstLine="700" w:firstLineChars="25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7.2.7.2 投标人须知前附表规定接受联合体投标的，联合体投标人资格审查方法和标准如下：</w:t>
      </w:r>
    </w:p>
    <w:p>
      <w:pPr>
        <w:tabs>
          <w:tab w:val="left" w:pos="0"/>
          <w:tab w:val="left" w:pos="709"/>
        </w:tabs>
        <w:adjustRightInd w:val="0"/>
        <w:snapToGrid w:val="0"/>
        <w:spacing w:line="360" w:lineRule="auto"/>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（1）审查联合体协议原件，投标人未提供或者虽提供但存在瑕疵的，即判定其不满足资格条件要求，资格不予审查通过，其投标无效。</w:t>
      </w:r>
    </w:p>
    <w:p>
      <w:pPr>
        <w:tabs>
          <w:tab w:val="left" w:pos="0"/>
          <w:tab w:val="left" w:pos="709"/>
        </w:tabs>
        <w:adjustRightInd w:val="0"/>
        <w:snapToGrid w:val="0"/>
        <w:spacing w:line="360" w:lineRule="auto"/>
        <w:ind w:firstLine="560" w:firstLineChars="200"/>
        <w:rPr>
          <w:rFonts w:ascii="仿宋_GB2312" w:hAnsi="宋体" w:eastAsia="仿宋_GB2312"/>
          <w:color w:val="auto"/>
          <w:sz w:val="28"/>
          <w:szCs w:val="28"/>
        </w:rPr>
      </w:pPr>
      <w:r>
        <w:rPr>
          <w:rFonts w:hint="eastAsia" w:ascii="仿宋_GB2312" w:hAnsi="宋体" w:eastAsia="仿宋_GB2312" w:cs="宋体"/>
          <w:color w:val="auto"/>
          <w:kern w:val="0"/>
          <w:sz w:val="28"/>
          <w:szCs w:val="28"/>
        </w:rPr>
        <w:t>（2）联合体各方的基本资格条件按照本章第7.2.5条款的规定进行审查，只要有一方不符合规定的条件，即判定其不满足资格条件要求，资格不予审查通过，其投标无效</w:t>
      </w:r>
      <w:r>
        <w:rPr>
          <w:rFonts w:hint="eastAsia" w:ascii="仿宋_GB2312" w:hAnsi="宋体" w:eastAsia="仿宋_GB2312"/>
          <w:color w:val="auto"/>
          <w:sz w:val="28"/>
          <w:szCs w:val="28"/>
        </w:rPr>
        <w:t>。</w:t>
      </w:r>
    </w:p>
    <w:p>
      <w:pPr>
        <w:tabs>
          <w:tab w:val="left" w:pos="0"/>
          <w:tab w:val="left" w:pos="709"/>
        </w:tabs>
        <w:adjustRightInd w:val="0"/>
        <w:snapToGrid w:val="0"/>
        <w:spacing w:line="360" w:lineRule="auto"/>
        <w:ind w:firstLine="560" w:firstLineChars="200"/>
        <w:rPr>
          <w:rFonts w:ascii="仿宋_GB2312" w:hAnsi="宋体" w:eastAsia="仿宋_GB2312"/>
          <w:color w:val="auto"/>
          <w:sz w:val="28"/>
          <w:szCs w:val="28"/>
        </w:rPr>
      </w:pPr>
      <w:r>
        <w:rPr>
          <w:rFonts w:hint="eastAsia" w:ascii="仿宋_GB2312" w:hAnsi="宋体" w:eastAsia="仿宋_GB2312" w:cs="宋体"/>
          <w:color w:val="auto"/>
          <w:kern w:val="0"/>
          <w:sz w:val="28"/>
          <w:szCs w:val="28"/>
        </w:rPr>
        <w:t>（3）联合体任意一方的</w:t>
      </w:r>
      <w:r>
        <w:rPr>
          <w:rFonts w:hint="eastAsia" w:ascii="仿宋_GB2312" w:hAnsi="宋体" w:eastAsia="仿宋_GB2312" w:cs="宋体"/>
          <w:color w:val="auto"/>
          <w:kern w:val="0"/>
          <w:sz w:val="28"/>
          <w:szCs w:val="28"/>
          <w:u w:val="single"/>
        </w:rPr>
        <w:t xml:space="preserve">    /    </w:t>
      </w:r>
      <w:r>
        <w:rPr>
          <w:rFonts w:hint="eastAsia" w:ascii="仿宋_GB2312" w:hAnsi="宋体" w:eastAsia="仿宋_GB2312" w:cs="宋体"/>
          <w:color w:val="auto"/>
          <w:kern w:val="0"/>
          <w:sz w:val="28"/>
          <w:szCs w:val="28"/>
        </w:rPr>
        <w:t>证，按照本章第7.2.7.1条款的规定进行审查，如审查结果不合格，视同联合体资格审查不合格，其投标无效</w:t>
      </w:r>
      <w:r>
        <w:rPr>
          <w:rFonts w:hint="eastAsia" w:ascii="仿宋_GB2312" w:hAnsi="宋体" w:eastAsia="仿宋_GB2312"/>
          <w:color w:val="auto"/>
          <w:sz w:val="28"/>
          <w:szCs w:val="28"/>
        </w:rPr>
        <w:t>。</w:t>
      </w:r>
    </w:p>
    <w:p>
      <w:pPr>
        <w:tabs>
          <w:tab w:val="left" w:pos="0"/>
        </w:tabs>
        <w:adjustRightInd w:val="0"/>
        <w:snapToGrid w:val="0"/>
        <w:spacing w:line="360" w:lineRule="auto"/>
        <w:ind w:firstLine="560" w:firstLineChars="200"/>
        <w:rPr>
          <w:rFonts w:ascii="仿宋_GB2312" w:hAnsi="宋体" w:eastAsia="仿宋_GB2312" w:cs="宋体"/>
          <w:color w:val="auto"/>
          <w:kern w:val="0"/>
          <w:sz w:val="28"/>
          <w:szCs w:val="28"/>
        </w:rPr>
      </w:pPr>
      <w:r>
        <w:rPr>
          <w:rFonts w:hint="eastAsia" w:ascii="仿宋_GB2312" w:hAnsi="宋体" w:eastAsia="仿宋_GB2312"/>
          <w:color w:val="auto"/>
          <w:sz w:val="28"/>
          <w:szCs w:val="28"/>
        </w:rPr>
        <w:t xml:space="preserve"> 7.2.7.3</w:t>
      </w:r>
      <w:r>
        <w:rPr>
          <w:rFonts w:hint="eastAsia" w:ascii="仿宋_GB2312" w:hAnsi="宋体" w:eastAsia="仿宋_GB2312" w:cs="宋体"/>
          <w:color w:val="auto"/>
          <w:kern w:val="0"/>
          <w:sz w:val="28"/>
          <w:szCs w:val="28"/>
        </w:rPr>
        <w:t>投标人须知前附表规定允许大中型企业向小微企业分包的，采取合同分包的投标人资格审查方法和标准如下：</w:t>
      </w:r>
    </w:p>
    <w:p>
      <w:pPr>
        <w:tabs>
          <w:tab w:val="left" w:pos="0"/>
        </w:tabs>
        <w:adjustRightInd w:val="0"/>
        <w:snapToGrid w:val="0"/>
        <w:spacing w:line="360" w:lineRule="auto"/>
        <w:ind w:firstLine="700" w:firstLineChars="25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审查分包意向协议原件，投标人未提供或者提供存在瑕疵的，即判定其不满足资格条件要求，资格不予审查通过，其投标无效。</w:t>
      </w:r>
    </w:p>
    <w:p>
      <w:pPr>
        <w:tabs>
          <w:tab w:val="left" w:pos="0"/>
        </w:tabs>
        <w:adjustRightInd w:val="0"/>
        <w:snapToGrid w:val="0"/>
        <w:spacing w:line="360" w:lineRule="auto"/>
        <w:ind w:firstLine="843" w:firstLineChars="300"/>
        <w:rPr>
          <w:rFonts w:ascii="仿宋_GB2312" w:hAnsi="宋体" w:eastAsia="仿宋_GB2312" w:cs="宋体"/>
          <w:b/>
          <w:color w:val="auto"/>
          <w:kern w:val="0"/>
          <w:sz w:val="28"/>
          <w:szCs w:val="28"/>
        </w:rPr>
      </w:pPr>
      <w:r>
        <w:rPr>
          <w:rFonts w:hint="eastAsia" w:ascii="仿宋_GB2312" w:hAnsi="宋体" w:eastAsia="仿宋_GB2312" w:cs="宋体"/>
          <w:b/>
          <w:color w:val="auto"/>
          <w:kern w:val="0"/>
          <w:sz w:val="28"/>
          <w:szCs w:val="28"/>
        </w:rPr>
        <w:t>7.2.8 投标人限定资格条件审查</w:t>
      </w:r>
    </w:p>
    <w:p>
      <w:pPr>
        <w:tabs>
          <w:tab w:val="left" w:pos="0"/>
        </w:tabs>
        <w:adjustRightInd w:val="0"/>
        <w:snapToGrid w:val="0"/>
        <w:spacing w:line="360" w:lineRule="auto"/>
        <w:ind w:firstLine="405"/>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7.2.8.1 审查方法如下：</w:t>
      </w:r>
    </w:p>
    <w:p>
      <w:pPr>
        <w:tabs>
          <w:tab w:val="left" w:pos="0"/>
        </w:tabs>
        <w:adjustRightInd w:val="0"/>
        <w:snapToGrid w:val="0"/>
        <w:spacing w:line="360" w:lineRule="auto"/>
        <w:ind w:firstLine="405"/>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（1）资格审查小组将通过信用中国网（http://www.creditchina.gov.cn/）和中国政府采购网（http://www.ccgp.gov.cn/cr/list）对投标人的信用信息进行查询核实。</w:t>
      </w:r>
    </w:p>
    <w:p>
      <w:pPr>
        <w:tabs>
          <w:tab w:val="left" w:pos="0"/>
        </w:tabs>
        <w:adjustRightInd w:val="0"/>
        <w:snapToGrid w:val="0"/>
        <w:spacing w:line="360" w:lineRule="auto"/>
        <w:ind w:firstLine="840" w:firstLineChars="3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（2）资格审查小组将通过投标人投标文件之资格部分和国家企业信用信息公示系统（http://www.gsxt.gov.cn/index.html）对投标人之间</w:t>
      </w:r>
      <w:r>
        <w:rPr>
          <w:rFonts w:hint="eastAsia" w:ascii="仿宋_GB2312" w:hAnsi="宋体" w:eastAsia="仿宋_GB2312"/>
          <w:color w:val="auto"/>
          <w:sz w:val="28"/>
          <w:szCs w:val="28"/>
        </w:rPr>
        <w:t>存在</w:t>
      </w:r>
      <w:r>
        <w:rPr>
          <w:rFonts w:hint="eastAsia" w:ascii="仿宋_GB2312" w:hAnsi="宋体" w:eastAsia="仿宋_GB2312"/>
          <w:bCs/>
          <w:color w:val="auto"/>
          <w:sz w:val="28"/>
          <w:szCs w:val="28"/>
        </w:rPr>
        <w:t>隶属关系或者其他利害关系</w:t>
      </w:r>
      <w:r>
        <w:rPr>
          <w:rFonts w:hint="eastAsia" w:ascii="仿宋_GB2312" w:hAnsi="宋体" w:eastAsia="仿宋_GB2312" w:cs="宋体"/>
          <w:color w:val="auto"/>
          <w:kern w:val="0"/>
          <w:sz w:val="28"/>
          <w:szCs w:val="28"/>
        </w:rPr>
        <w:t>进行相关信息的核实。</w:t>
      </w:r>
    </w:p>
    <w:p>
      <w:pPr>
        <w:tabs>
          <w:tab w:val="left" w:pos="0"/>
        </w:tabs>
        <w:adjustRightInd w:val="0"/>
        <w:snapToGrid w:val="0"/>
        <w:spacing w:line="360" w:lineRule="auto"/>
        <w:ind w:firstLine="840" w:firstLineChars="3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（3）投标人不良信用记录以资格审查小组查询结果为准。</w:t>
      </w:r>
    </w:p>
    <w:p>
      <w:pPr>
        <w:tabs>
          <w:tab w:val="left" w:pos="0"/>
        </w:tabs>
        <w:adjustRightInd w:val="0"/>
        <w:snapToGrid w:val="0"/>
        <w:spacing w:line="360" w:lineRule="auto"/>
        <w:ind w:firstLine="405"/>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7.2.8.2 审查标准如下：</w:t>
      </w:r>
    </w:p>
    <w:p>
      <w:pPr>
        <w:tabs>
          <w:tab w:val="left" w:pos="0"/>
        </w:tabs>
        <w:adjustRightInd w:val="0"/>
        <w:snapToGrid w:val="0"/>
        <w:spacing w:line="360" w:lineRule="auto"/>
        <w:ind w:firstLine="405"/>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（1）投标人存在本章第</w:t>
      </w:r>
      <w:r>
        <w:rPr>
          <w:rFonts w:hint="eastAsia" w:ascii="仿宋_GB2312" w:hAnsi="宋体" w:eastAsia="仿宋_GB2312"/>
          <w:color w:val="auto"/>
          <w:sz w:val="28"/>
          <w:szCs w:val="28"/>
        </w:rPr>
        <w:t>1.3.2条列举</w:t>
      </w:r>
      <w:r>
        <w:rPr>
          <w:rFonts w:hint="eastAsia" w:ascii="仿宋_GB2312" w:hAnsi="宋体" w:eastAsia="仿宋_GB2312" w:cs="宋体"/>
          <w:color w:val="auto"/>
          <w:kern w:val="0"/>
          <w:sz w:val="28"/>
          <w:szCs w:val="28"/>
        </w:rPr>
        <w:t>情形之一的，审查不予通过，即判定其限定资格条件审查结果为不合格，将不具备投标资格，其投标无效。</w:t>
      </w:r>
    </w:p>
    <w:p>
      <w:pPr>
        <w:tabs>
          <w:tab w:val="left" w:pos="0"/>
        </w:tabs>
        <w:adjustRightInd w:val="0"/>
        <w:snapToGrid w:val="0"/>
        <w:spacing w:line="360" w:lineRule="auto"/>
        <w:ind w:firstLine="405"/>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（2）投标人须知前附表规定允许联合体投标的，联合体任何一方存在本章第</w:t>
      </w:r>
      <w:r>
        <w:rPr>
          <w:rFonts w:hint="eastAsia" w:ascii="仿宋_GB2312" w:hAnsi="宋体" w:eastAsia="仿宋_GB2312"/>
          <w:color w:val="auto"/>
          <w:sz w:val="28"/>
          <w:szCs w:val="28"/>
        </w:rPr>
        <w:t>1.3.2条列举</w:t>
      </w:r>
      <w:r>
        <w:rPr>
          <w:rFonts w:hint="eastAsia" w:ascii="仿宋_GB2312" w:hAnsi="宋体" w:eastAsia="仿宋_GB2312" w:cs="宋体"/>
          <w:color w:val="auto"/>
          <w:kern w:val="0"/>
          <w:sz w:val="28"/>
          <w:szCs w:val="28"/>
        </w:rPr>
        <w:t>情形之一的，视同联合体存在相同情形，审查不予通过，即判定其限定资格条件审查结果为不合格，将不具备投标资格，其投标无效。</w:t>
      </w:r>
    </w:p>
    <w:p>
      <w:pPr>
        <w:spacing w:line="360" w:lineRule="auto"/>
        <w:ind w:firstLine="562" w:firstLineChars="200"/>
        <w:rPr>
          <w:rFonts w:ascii="仿宋_GB2312" w:hAnsi="宋体" w:eastAsia="仿宋_GB2312"/>
          <w:b/>
          <w:color w:val="auto"/>
          <w:sz w:val="28"/>
          <w:szCs w:val="28"/>
        </w:rPr>
      </w:pPr>
      <w:r>
        <w:rPr>
          <w:rFonts w:hint="eastAsia" w:ascii="仿宋_GB2312" w:hAnsi="宋体" w:eastAsia="仿宋_GB2312"/>
          <w:b/>
          <w:color w:val="auto"/>
          <w:sz w:val="28"/>
          <w:szCs w:val="28"/>
        </w:rPr>
        <w:t>7.2.9 资格审查报告</w:t>
      </w:r>
    </w:p>
    <w:p>
      <w:pPr>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7.2.9.1 资格审查报告由资格审查小组负责编制，以采购代理机构名义向采购人提交，资格审查报告随采购文件一并存档。</w:t>
      </w:r>
    </w:p>
    <w:p>
      <w:pPr>
        <w:tabs>
          <w:tab w:val="left" w:pos="0"/>
        </w:tabs>
        <w:adjustRightInd w:val="0"/>
        <w:snapToGrid w:val="0"/>
        <w:spacing w:line="360" w:lineRule="auto"/>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7.2.9.2信用查询结果的截屏资料，作为资格审查报告附件随采购文件一起存档。</w:t>
      </w:r>
    </w:p>
    <w:p>
      <w:pPr>
        <w:tabs>
          <w:tab w:val="left" w:pos="0"/>
        </w:tabs>
        <w:adjustRightInd w:val="0"/>
        <w:snapToGrid w:val="0"/>
        <w:spacing w:line="360" w:lineRule="auto"/>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7.2.9.3</w:t>
      </w:r>
      <w:r>
        <w:rPr>
          <w:rFonts w:hint="eastAsia" w:ascii="仿宋_GB2312" w:hAnsi="宋体" w:eastAsia="仿宋_GB2312"/>
          <w:color w:val="auto"/>
          <w:sz w:val="28"/>
          <w:szCs w:val="28"/>
        </w:rPr>
        <w:t>资格审查结束后，采购代理机构应将资格审查结果告知评标委员会。</w:t>
      </w:r>
    </w:p>
    <w:p>
      <w:pPr>
        <w:spacing w:line="360" w:lineRule="auto"/>
        <w:rPr>
          <w:rFonts w:ascii="仿宋_GB2312" w:hAnsi="宋体" w:eastAsia="仿宋_GB2312"/>
          <w:b/>
          <w:color w:val="auto"/>
          <w:sz w:val="28"/>
          <w:szCs w:val="28"/>
        </w:rPr>
      </w:pPr>
      <w:r>
        <w:rPr>
          <w:rFonts w:hint="eastAsia" w:ascii="仿宋_GB2312" w:hAnsi="宋体" w:eastAsia="仿宋_GB2312"/>
          <w:color w:val="auto"/>
          <w:sz w:val="28"/>
          <w:szCs w:val="28"/>
        </w:rPr>
        <w:t xml:space="preserve">    </w:t>
      </w:r>
      <w:r>
        <w:rPr>
          <w:rFonts w:hint="eastAsia" w:ascii="仿宋_GB2312" w:hAnsi="宋体" w:eastAsia="仿宋_GB2312"/>
          <w:b/>
          <w:color w:val="auto"/>
          <w:sz w:val="28"/>
          <w:szCs w:val="28"/>
        </w:rPr>
        <w:t>7.2.10 合格投标人不足3家的，不得评标。</w:t>
      </w:r>
    </w:p>
    <w:p>
      <w:pPr>
        <w:spacing w:line="360" w:lineRule="auto"/>
        <w:rPr>
          <w:rFonts w:ascii="仿宋_GB2312" w:hAnsi="宋体" w:eastAsia="仿宋_GB2312"/>
          <w:color w:val="auto"/>
          <w:sz w:val="28"/>
          <w:szCs w:val="28"/>
        </w:rPr>
      </w:pPr>
      <w:r>
        <w:rPr>
          <w:rFonts w:hint="eastAsia" w:ascii="仿宋_GB2312" w:hAnsi="宋体" w:eastAsia="仿宋_GB2312"/>
          <w:b/>
          <w:color w:val="auto"/>
          <w:sz w:val="28"/>
          <w:szCs w:val="28"/>
        </w:rPr>
        <w:t xml:space="preserve">    7.2.11不合格的投标人，不得进入评标环节。</w:t>
      </w:r>
    </w:p>
    <w:p>
      <w:pPr>
        <w:pStyle w:val="4"/>
        <w:spacing w:before="0" w:afterLines="50" w:line="360" w:lineRule="auto"/>
        <w:rPr>
          <w:rFonts w:ascii="仿宋_GB2312" w:eastAsia="仿宋_GB2312"/>
          <w:bCs w:val="0"/>
          <w:color w:val="auto"/>
        </w:rPr>
      </w:pPr>
      <w:bookmarkStart w:id="116" w:name="_Toc73278694"/>
      <w:r>
        <w:rPr>
          <w:rFonts w:hint="eastAsia" w:ascii="仿宋_GB2312" w:eastAsia="仿宋_GB2312"/>
          <w:bCs w:val="0"/>
          <w:color w:val="auto"/>
        </w:rPr>
        <w:t>8. 评标</w:t>
      </w:r>
      <w:bookmarkEnd w:id="112"/>
      <w:bookmarkEnd w:id="116"/>
    </w:p>
    <w:p>
      <w:pPr>
        <w:pStyle w:val="4"/>
        <w:spacing w:before="0" w:after="0" w:line="360" w:lineRule="auto"/>
        <w:rPr>
          <w:rFonts w:ascii="仿宋_GB2312" w:hAnsi="宋体" w:eastAsia="仿宋_GB2312"/>
          <w:color w:val="auto"/>
          <w:sz w:val="30"/>
          <w:szCs w:val="30"/>
        </w:rPr>
      </w:pPr>
      <w:bookmarkStart w:id="117" w:name="_Toc73278695"/>
      <w:r>
        <w:rPr>
          <w:rFonts w:hint="eastAsia" w:ascii="仿宋_GB2312" w:hAnsi="宋体" w:eastAsia="仿宋_GB2312"/>
          <w:color w:val="auto"/>
          <w:sz w:val="30"/>
          <w:szCs w:val="30"/>
        </w:rPr>
        <w:t>8.1 评标委员会</w:t>
      </w:r>
      <w:bookmarkEnd w:id="117"/>
    </w:p>
    <w:p>
      <w:pPr>
        <w:spacing w:line="360" w:lineRule="auto"/>
        <w:ind w:left="120" w:leftChars="57"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8.1.1 评标由采购代理机构依法组建的评标委员会负责。评标委员会由采购人代表和评审专家组成，成员由5人以上单数组成。</w:t>
      </w:r>
    </w:p>
    <w:p>
      <w:pPr>
        <w:spacing w:line="360" w:lineRule="auto"/>
        <w:ind w:left="120" w:leftChars="57"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8.1.2 评标委员会成员到位后，推荐一名评审专家担任组长，并由组长牵头组织本项目的评标工作，采购人代表不得担任组长。</w:t>
      </w:r>
    </w:p>
    <w:p>
      <w:pPr>
        <w:spacing w:line="360" w:lineRule="auto"/>
        <w:ind w:left="120" w:leftChars="57"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8.1.3 评标委员会成员有下列情形之一的，应当回避：</w:t>
      </w:r>
    </w:p>
    <w:p>
      <w:pPr>
        <w:spacing w:line="360" w:lineRule="auto"/>
        <w:ind w:left="120" w:leftChars="57" w:firstLine="420" w:firstLineChars="150"/>
        <w:rPr>
          <w:rFonts w:ascii="仿宋_GB2312" w:hAnsi="宋体" w:eastAsia="仿宋_GB2312"/>
          <w:color w:val="auto"/>
          <w:sz w:val="28"/>
          <w:szCs w:val="28"/>
        </w:rPr>
      </w:pPr>
      <w:r>
        <w:rPr>
          <w:rFonts w:hint="eastAsia" w:ascii="仿宋_GB2312" w:hAnsi="宋体" w:eastAsia="仿宋_GB2312"/>
          <w:color w:val="auto"/>
          <w:sz w:val="28"/>
          <w:szCs w:val="28"/>
        </w:rPr>
        <w:t>（1）采购人或投标人主要负责人的近亲属；</w:t>
      </w:r>
    </w:p>
    <w:p>
      <w:pPr>
        <w:spacing w:line="360" w:lineRule="auto"/>
        <w:ind w:left="120" w:leftChars="57" w:firstLine="420" w:firstLineChars="150"/>
        <w:rPr>
          <w:rFonts w:ascii="仿宋_GB2312" w:hAnsi="宋体" w:eastAsia="仿宋_GB2312"/>
          <w:color w:val="auto"/>
          <w:sz w:val="28"/>
          <w:szCs w:val="28"/>
        </w:rPr>
      </w:pPr>
      <w:r>
        <w:rPr>
          <w:rFonts w:hint="eastAsia" w:ascii="仿宋_GB2312" w:hAnsi="宋体" w:eastAsia="仿宋_GB2312"/>
          <w:color w:val="auto"/>
          <w:sz w:val="28"/>
          <w:szCs w:val="28"/>
        </w:rPr>
        <w:t>（2）项目主管部门或者行政监督部门的人员；</w:t>
      </w:r>
    </w:p>
    <w:p>
      <w:pPr>
        <w:spacing w:line="360" w:lineRule="auto"/>
        <w:ind w:left="120" w:leftChars="57" w:firstLine="420" w:firstLineChars="150"/>
        <w:rPr>
          <w:rFonts w:ascii="仿宋_GB2312" w:hAnsi="宋体" w:eastAsia="仿宋_GB2312"/>
          <w:color w:val="auto"/>
          <w:sz w:val="28"/>
          <w:szCs w:val="28"/>
        </w:rPr>
      </w:pPr>
      <w:r>
        <w:rPr>
          <w:rFonts w:hint="eastAsia" w:ascii="仿宋_GB2312" w:hAnsi="宋体" w:eastAsia="仿宋_GB2312"/>
          <w:color w:val="auto"/>
          <w:sz w:val="28"/>
          <w:szCs w:val="28"/>
        </w:rPr>
        <w:t>（3）与投标人有经济利益关系，可能影响对投标公正评审的；</w:t>
      </w:r>
    </w:p>
    <w:p>
      <w:pPr>
        <w:spacing w:line="360" w:lineRule="auto"/>
        <w:ind w:left="120" w:leftChars="57" w:firstLine="420" w:firstLineChars="150"/>
        <w:rPr>
          <w:rFonts w:ascii="仿宋_GB2312" w:hAnsi="宋体" w:eastAsia="仿宋_GB2312"/>
          <w:color w:val="auto"/>
          <w:sz w:val="28"/>
          <w:szCs w:val="28"/>
        </w:rPr>
      </w:pPr>
      <w:r>
        <w:rPr>
          <w:rFonts w:hint="eastAsia" w:ascii="仿宋_GB2312" w:hAnsi="宋体" w:eastAsia="仿宋_GB2312"/>
          <w:color w:val="auto"/>
          <w:sz w:val="28"/>
          <w:szCs w:val="28"/>
        </w:rPr>
        <w:t>（3）曾因在招标、评标以及其他与招标投标有关活动中从事违法行为而受过行政处罚或刑事处罚的。</w:t>
      </w:r>
    </w:p>
    <w:p>
      <w:pPr>
        <w:autoSpaceDE w:val="0"/>
        <w:autoSpaceDN w:val="0"/>
        <w:spacing w:line="360" w:lineRule="auto"/>
        <w:ind w:firstLine="700" w:firstLineChars="250"/>
        <w:rPr>
          <w:rFonts w:ascii="仿宋_GB2312" w:hAnsi="宋体" w:eastAsia="仿宋_GB2312" w:cs="宋体"/>
          <w:color w:val="auto"/>
          <w:kern w:val="0"/>
          <w:sz w:val="28"/>
          <w:szCs w:val="28"/>
          <w:lang w:val="zh-CN"/>
        </w:rPr>
      </w:pPr>
      <w:r>
        <w:rPr>
          <w:rFonts w:hint="eastAsia" w:ascii="仿宋_GB2312" w:hAnsi="宋体" w:eastAsia="仿宋_GB2312"/>
          <w:color w:val="auto"/>
          <w:sz w:val="28"/>
          <w:szCs w:val="28"/>
        </w:rPr>
        <w:t xml:space="preserve">8.1.4 </w:t>
      </w:r>
      <w:r>
        <w:rPr>
          <w:rFonts w:hint="eastAsia" w:ascii="仿宋_GB2312" w:hAnsi="宋体" w:eastAsia="仿宋_GB2312" w:cs="宋体"/>
          <w:color w:val="auto"/>
          <w:kern w:val="0"/>
          <w:sz w:val="28"/>
          <w:szCs w:val="28"/>
        </w:rPr>
        <w:t>评标过程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r>
        <w:rPr>
          <w:rFonts w:hint="eastAsia" w:ascii="仿宋_GB2312" w:hAnsi="宋体" w:eastAsia="仿宋_GB2312" w:cs="宋体"/>
          <w:color w:val="auto"/>
          <w:kern w:val="0"/>
          <w:sz w:val="28"/>
          <w:szCs w:val="28"/>
          <w:lang w:val="zh-CN"/>
        </w:rPr>
        <w:t>采购代理机构</w:t>
      </w:r>
      <w:r>
        <w:rPr>
          <w:rFonts w:hint="eastAsia" w:ascii="仿宋_GB2312" w:hAnsi="宋体" w:eastAsia="仿宋_GB2312" w:cs="宋体"/>
          <w:color w:val="auto"/>
          <w:kern w:val="0"/>
          <w:sz w:val="28"/>
          <w:szCs w:val="28"/>
        </w:rPr>
        <w:t>应当将变更、重新组建评标委员会的情况予以记录，并随采购文件一并存档。</w:t>
      </w:r>
    </w:p>
    <w:p>
      <w:pPr>
        <w:autoSpaceDE w:val="0"/>
        <w:autoSpaceDN w:val="0"/>
        <w:spacing w:line="360" w:lineRule="auto"/>
        <w:ind w:firstLine="700" w:firstLineChars="250"/>
        <w:rPr>
          <w:rFonts w:ascii="仿宋_GB2312" w:hAnsi="宋体" w:eastAsia="仿宋_GB2312"/>
          <w:color w:val="auto"/>
          <w:sz w:val="28"/>
          <w:szCs w:val="28"/>
        </w:rPr>
      </w:pPr>
      <w:r>
        <w:rPr>
          <w:rFonts w:hint="eastAsia" w:ascii="仿宋_GB2312" w:hAnsi="宋体" w:eastAsia="仿宋_GB2312"/>
          <w:color w:val="auto"/>
          <w:sz w:val="28"/>
          <w:szCs w:val="28"/>
        </w:rPr>
        <w:t>8.1.5 评委会成员名单在中标结果公告前，应当保密。</w:t>
      </w:r>
    </w:p>
    <w:p>
      <w:pPr>
        <w:widowControl/>
        <w:autoSpaceDE w:val="0"/>
        <w:autoSpaceDN w:val="0"/>
        <w:spacing w:line="360" w:lineRule="auto"/>
        <w:ind w:right="51" w:firstLine="703" w:firstLineChars="250"/>
        <w:textAlignment w:val="bottom"/>
        <w:rPr>
          <w:rFonts w:ascii="仿宋_GB2312" w:eastAsia="仿宋_GB2312"/>
          <w:color w:val="auto"/>
          <w:sz w:val="28"/>
          <w:szCs w:val="28"/>
        </w:rPr>
      </w:pPr>
      <w:r>
        <w:rPr>
          <w:rFonts w:hint="eastAsia" w:ascii="仿宋_GB2312" w:hAnsi="宋体" w:eastAsia="仿宋_GB2312"/>
          <w:b/>
          <w:color w:val="auto"/>
          <w:sz w:val="28"/>
          <w:szCs w:val="28"/>
        </w:rPr>
        <w:t xml:space="preserve">8.1.6  </w:t>
      </w:r>
      <w:r>
        <w:rPr>
          <w:rFonts w:hint="eastAsia" w:ascii="仿宋_GB2312" w:eastAsia="仿宋_GB2312"/>
          <w:b/>
          <w:color w:val="auto"/>
          <w:sz w:val="28"/>
          <w:szCs w:val="28"/>
        </w:rPr>
        <w:t>评标委员会及其成员不得有下列行为：</w:t>
      </w:r>
    </w:p>
    <w:p>
      <w:pPr>
        <w:widowControl/>
        <w:spacing w:line="360" w:lineRule="auto"/>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（1）确定参与评标至评标结束前私自接触投标人；</w:t>
      </w:r>
    </w:p>
    <w:p>
      <w:pPr>
        <w:widowControl/>
        <w:spacing w:line="360" w:lineRule="auto"/>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（2）接受投标人提出的与投标文件不一致的澄清或者说明；</w:t>
      </w:r>
    </w:p>
    <w:p>
      <w:pPr>
        <w:widowControl/>
        <w:spacing w:line="360" w:lineRule="auto"/>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（3）违反评标纪律发表倾向性意见或者征询采购人的倾向性意见；</w:t>
      </w:r>
    </w:p>
    <w:p>
      <w:pPr>
        <w:widowControl/>
        <w:spacing w:line="360" w:lineRule="auto"/>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（4）对需要专业判断的主观评审因素协商评分；</w:t>
      </w:r>
    </w:p>
    <w:p>
      <w:pPr>
        <w:widowControl/>
        <w:spacing w:line="360" w:lineRule="auto"/>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（5）在评标过程中擅离职守，影响评标程序正常进行的；</w:t>
      </w:r>
    </w:p>
    <w:p>
      <w:pPr>
        <w:widowControl/>
        <w:spacing w:line="360" w:lineRule="auto"/>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（6）记录、复制或者带走任何评标资料；</w:t>
      </w:r>
    </w:p>
    <w:p>
      <w:pPr>
        <w:widowControl/>
        <w:spacing w:line="360" w:lineRule="auto"/>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（7）其他不遵守评标纪律的行为。</w:t>
      </w:r>
    </w:p>
    <w:p>
      <w:pPr>
        <w:widowControl/>
        <w:spacing w:line="360" w:lineRule="auto"/>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评标委员会成员有前款第一至五项行为之一的，其评审意见无效，并不得获取评审劳务报酬和报销异地评审差旅费。</w:t>
      </w:r>
    </w:p>
    <w:p>
      <w:pPr>
        <w:pStyle w:val="4"/>
        <w:spacing w:before="0" w:after="0" w:line="360" w:lineRule="auto"/>
        <w:rPr>
          <w:rFonts w:ascii="仿宋_GB2312" w:hAnsi="宋体" w:eastAsia="仿宋_GB2312"/>
          <w:color w:val="auto"/>
          <w:sz w:val="30"/>
          <w:szCs w:val="30"/>
        </w:rPr>
      </w:pPr>
      <w:bookmarkStart w:id="118" w:name="_Toc73278696"/>
      <w:r>
        <w:rPr>
          <w:rFonts w:hint="eastAsia" w:ascii="仿宋_GB2312" w:hAnsi="宋体" w:eastAsia="仿宋_GB2312"/>
          <w:color w:val="auto"/>
          <w:sz w:val="30"/>
          <w:szCs w:val="30"/>
        </w:rPr>
        <w:t>8.2 评标原则</w:t>
      </w:r>
      <w:bookmarkEnd w:id="118"/>
    </w:p>
    <w:p>
      <w:pPr>
        <w:tabs>
          <w:tab w:val="left" w:pos="0"/>
        </w:tabs>
        <w:adjustRightInd w:val="0"/>
        <w:snapToGrid w:val="0"/>
        <w:spacing w:line="360" w:lineRule="auto"/>
        <w:ind w:firstLine="548" w:firstLineChars="196"/>
        <w:rPr>
          <w:rFonts w:ascii="仿宋_GB2312" w:hAnsi="楷体" w:eastAsia="仿宋_GB2312"/>
          <w:color w:val="auto"/>
          <w:sz w:val="28"/>
          <w:szCs w:val="28"/>
        </w:rPr>
      </w:pPr>
      <w:r>
        <w:rPr>
          <w:rFonts w:hint="eastAsia" w:ascii="仿宋_GB2312" w:hAnsi="楷体" w:eastAsia="仿宋_GB2312"/>
          <w:color w:val="auto"/>
          <w:sz w:val="28"/>
          <w:szCs w:val="28"/>
        </w:rPr>
        <w:t>8.2.1“公平、公正、科学、择优”为本次评标的基本原则，评标委员会按照这一原则的要求，公正、平等地对待各投标人。同时，在评审中恪守以下原则：</w:t>
      </w:r>
    </w:p>
    <w:p>
      <w:pPr>
        <w:tabs>
          <w:tab w:val="left" w:pos="0"/>
        </w:tabs>
        <w:adjustRightInd w:val="0"/>
        <w:snapToGrid w:val="0"/>
        <w:spacing w:line="360" w:lineRule="auto"/>
        <w:ind w:firstLine="548" w:firstLineChars="196"/>
        <w:rPr>
          <w:rFonts w:ascii="仿宋_GB2312" w:hAnsi="楷体" w:eastAsia="仿宋_GB2312"/>
          <w:color w:val="auto"/>
          <w:sz w:val="28"/>
          <w:szCs w:val="28"/>
        </w:rPr>
      </w:pPr>
      <w:r>
        <w:rPr>
          <w:rFonts w:hint="eastAsia" w:ascii="仿宋_GB2312" w:hAnsi="楷体" w:eastAsia="仿宋_GB2312"/>
          <w:color w:val="auto"/>
          <w:sz w:val="28"/>
          <w:szCs w:val="28"/>
        </w:rPr>
        <w:t>（1）统一性原则：评标委员会将按照统一的评标原则和评审方法，用统一标准进行评审。</w:t>
      </w:r>
    </w:p>
    <w:p>
      <w:pPr>
        <w:tabs>
          <w:tab w:val="left" w:pos="0"/>
        </w:tabs>
        <w:adjustRightInd w:val="0"/>
        <w:snapToGrid w:val="0"/>
        <w:spacing w:line="360" w:lineRule="auto"/>
        <w:ind w:firstLine="548" w:firstLineChars="196"/>
        <w:rPr>
          <w:rFonts w:ascii="仿宋_GB2312" w:hAnsi="楷体" w:eastAsia="仿宋_GB2312"/>
          <w:color w:val="auto"/>
          <w:sz w:val="28"/>
          <w:szCs w:val="28"/>
        </w:rPr>
      </w:pPr>
      <w:r>
        <w:rPr>
          <w:rFonts w:hint="eastAsia" w:ascii="仿宋_GB2312" w:hAnsi="楷体" w:eastAsia="仿宋_GB2312"/>
          <w:color w:val="auto"/>
          <w:sz w:val="28"/>
          <w:szCs w:val="28"/>
        </w:rPr>
        <w:t>（2）独立性原则：评标工作在评标委员会内部独立进行，不受外界任何因素的干扰和影响。评标委员会成员对其出具的意见承担个人责任。投标</w:t>
      </w:r>
      <w:r>
        <w:rPr>
          <w:rFonts w:hint="eastAsia" w:ascii="仿宋_GB2312" w:hAnsi="楷体" w:eastAsia="仿宋_GB2312" w:cs="宋体"/>
          <w:color w:val="auto"/>
          <w:kern w:val="0"/>
          <w:sz w:val="28"/>
          <w:szCs w:val="28"/>
        </w:rPr>
        <w:t>人试图影响或干预评审的任何行为，将导致其丧失投标的资格，并承担相应的法律责任。</w:t>
      </w:r>
    </w:p>
    <w:p>
      <w:pPr>
        <w:tabs>
          <w:tab w:val="left" w:pos="0"/>
        </w:tabs>
        <w:adjustRightInd w:val="0"/>
        <w:snapToGrid w:val="0"/>
        <w:spacing w:line="360" w:lineRule="auto"/>
        <w:ind w:firstLine="548" w:firstLineChars="196"/>
        <w:rPr>
          <w:rFonts w:ascii="仿宋_GB2312" w:hAnsi="楷体" w:eastAsia="仿宋_GB2312"/>
          <w:color w:val="auto"/>
          <w:sz w:val="28"/>
          <w:szCs w:val="28"/>
        </w:rPr>
      </w:pPr>
      <w:r>
        <w:rPr>
          <w:rFonts w:hint="eastAsia" w:ascii="仿宋_GB2312" w:hAnsi="楷体" w:eastAsia="仿宋_GB2312"/>
          <w:color w:val="auto"/>
          <w:sz w:val="28"/>
          <w:szCs w:val="28"/>
        </w:rPr>
        <w:t>（3）客观性原则：评标委员会将严格按照招标文件要求，对投标人的投标文件进行认真评审；评标委员会对投标文件的评审仅依据投标文件本身，而不依据投标文件以外的任何因素。</w:t>
      </w:r>
    </w:p>
    <w:p>
      <w:pPr>
        <w:tabs>
          <w:tab w:val="left" w:pos="0"/>
        </w:tabs>
        <w:adjustRightInd w:val="0"/>
        <w:snapToGrid w:val="0"/>
        <w:spacing w:line="360" w:lineRule="auto"/>
        <w:ind w:firstLine="548" w:firstLineChars="196"/>
        <w:rPr>
          <w:rFonts w:ascii="仿宋_GB2312" w:hAnsi="楷体" w:eastAsia="仿宋_GB2312"/>
          <w:color w:val="auto"/>
          <w:sz w:val="28"/>
          <w:szCs w:val="28"/>
        </w:rPr>
      </w:pPr>
      <w:r>
        <w:rPr>
          <w:rFonts w:hint="eastAsia" w:ascii="仿宋_GB2312" w:hAnsi="楷体" w:eastAsia="仿宋_GB2312"/>
          <w:color w:val="auto"/>
          <w:sz w:val="28"/>
          <w:szCs w:val="28"/>
        </w:rPr>
        <w:t>（4）保密性原则：采购代理机构应当采取必要的措施，保证评标在严格保密情况下进行。</w:t>
      </w:r>
    </w:p>
    <w:p>
      <w:pPr>
        <w:tabs>
          <w:tab w:val="left" w:pos="0"/>
        </w:tabs>
        <w:adjustRightInd w:val="0"/>
        <w:snapToGrid w:val="0"/>
        <w:spacing w:line="360" w:lineRule="auto"/>
        <w:ind w:firstLine="548" w:firstLineChars="196"/>
        <w:rPr>
          <w:rFonts w:ascii="仿宋_GB2312" w:hAnsi="楷体" w:eastAsia="仿宋_GB2312"/>
          <w:color w:val="auto"/>
          <w:sz w:val="28"/>
          <w:szCs w:val="28"/>
        </w:rPr>
      </w:pPr>
      <w:r>
        <w:rPr>
          <w:rFonts w:hint="eastAsia" w:ascii="仿宋_GB2312" w:hAnsi="楷体" w:eastAsia="仿宋_GB2312"/>
          <w:color w:val="auto"/>
          <w:sz w:val="28"/>
          <w:szCs w:val="28"/>
        </w:rPr>
        <w:t>（6）综合性原则：评标委员会将综合分析、评审投标人的各项指标，而不以单项指标的优劣评定出中标人。</w:t>
      </w:r>
    </w:p>
    <w:p>
      <w:pPr>
        <w:spacing w:line="360" w:lineRule="auto"/>
        <w:ind w:firstLine="560" w:firstLineChars="200"/>
        <w:rPr>
          <w:rFonts w:ascii="仿宋_GB2312" w:hAnsi="楷体" w:eastAsia="仿宋_GB2312"/>
          <w:color w:val="auto"/>
          <w:sz w:val="28"/>
          <w:szCs w:val="28"/>
        </w:rPr>
      </w:pPr>
      <w:r>
        <w:rPr>
          <w:rFonts w:hint="eastAsia" w:ascii="仿宋_GB2312" w:hAnsi="楷体" w:eastAsia="仿宋_GB2312"/>
          <w:color w:val="auto"/>
          <w:sz w:val="28"/>
          <w:szCs w:val="28"/>
        </w:rPr>
        <w:t>8.2.2 评标委员会有权对整个招标过程中出现的一切问题，根据《中华人民共和国政府采购法》、《中华人民共和国政府采购法实施条例》和《政府采购货物和服务招标投标管理办法》（财政部第87号令）等相关规定进行处理。</w:t>
      </w:r>
    </w:p>
    <w:p>
      <w:pPr>
        <w:pStyle w:val="4"/>
        <w:spacing w:before="0" w:after="0" w:line="360" w:lineRule="auto"/>
        <w:rPr>
          <w:rFonts w:ascii="仿宋_GB2312" w:hAnsi="宋体" w:eastAsia="仿宋_GB2312"/>
          <w:color w:val="auto"/>
          <w:sz w:val="30"/>
          <w:szCs w:val="30"/>
        </w:rPr>
      </w:pPr>
      <w:bookmarkStart w:id="119" w:name="_Toc73278697"/>
      <w:r>
        <w:rPr>
          <w:rFonts w:hint="eastAsia" w:ascii="仿宋_GB2312" w:hAnsi="宋体" w:eastAsia="仿宋_GB2312"/>
          <w:color w:val="auto"/>
          <w:sz w:val="30"/>
          <w:szCs w:val="30"/>
        </w:rPr>
        <w:t>8.3 评标</w:t>
      </w:r>
      <w:bookmarkEnd w:id="119"/>
    </w:p>
    <w:p>
      <w:pPr>
        <w:pStyle w:val="66"/>
        <w:spacing w:line="360" w:lineRule="auto"/>
        <w:ind w:firstLine="560" w:firstLineChars="200"/>
        <w:rPr>
          <w:rFonts w:ascii="仿宋_GB2312" w:hAnsi="宋体" w:eastAsia="仿宋_GB2312"/>
          <w:color w:val="auto"/>
          <w:sz w:val="28"/>
          <w:szCs w:val="28"/>
        </w:rPr>
      </w:pPr>
      <w:bookmarkStart w:id="120" w:name="_Toc217446060"/>
      <w:r>
        <w:rPr>
          <w:rFonts w:hint="eastAsia" w:ascii="仿宋_GB2312" w:hAnsi="宋体" w:eastAsia="仿宋_GB2312"/>
          <w:color w:val="auto"/>
          <w:sz w:val="28"/>
          <w:szCs w:val="28"/>
        </w:rPr>
        <w:t>8.3.1 评标委员会按照招标文件第三章“评标办法”规定的方法、评审因素、标准和程序对投标文件进行评审。第三章“评标办法”没有规定的方法、评审因素和标准，不得作为评标依据。</w:t>
      </w:r>
    </w:p>
    <w:p>
      <w:pPr>
        <w:pStyle w:val="66"/>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8.3.2 评标委员会负责具体评标事务，并独立履行下列职责：</w:t>
      </w:r>
    </w:p>
    <w:p>
      <w:pPr>
        <w:pStyle w:val="66"/>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（1）审查、评价投标文件是否符合招标文件的商务、技术、服务等实质性要求；</w:t>
      </w:r>
    </w:p>
    <w:p>
      <w:pPr>
        <w:pStyle w:val="66"/>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（2）要求投标人对投标文件有关事项作出澄清或者说明；</w:t>
      </w:r>
    </w:p>
    <w:p>
      <w:pPr>
        <w:pStyle w:val="66"/>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（3）对投标文件进行比较和评价；</w:t>
      </w:r>
    </w:p>
    <w:p>
      <w:pPr>
        <w:pStyle w:val="66"/>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（4）确定中标候选人名单，以及根据采购人委托直接确定中标人；</w:t>
      </w:r>
    </w:p>
    <w:p>
      <w:pPr>
        <w:pStyle w:val="66"/>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（5）向采购人、采购代理机构或者有关部门报告评标中发现的违法行为。</w:t>
      </w:r>
    </w:p>
    <w:p>
      <w:pPr>
        <w:pStyle w:val="66"/>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8.3.3评标委员会成员应当履行下列义务：</w:t>
      </w:r>
    </w:p>
    <w:p>
      <w:pPr>
        <w:pStyle w:val="66"/>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（1）遵纪守法，客观、公正、廉洁地履行职责；</w:t>
      </w:r>
    </w:p>
    <w:p>
      <w:pPr>
        <w:pStyle w:val="66"/>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（2）根据招标文件的规定独立进行评审，对个人的评审意见承担法律责任；</w:t>
      </w:r>
    </w:p>
    <w:p>
      <w:pPr>
        <w:pStyle w:val="66"/>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（3）参与评标报告的起草；</w:t>
      </w:r>
    </w:p>
    <w:p>
      <w:pPr>
        <w:pStyle w:val="66"/>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（4）配合采购人、采购代理机构答复投标人提出的质疑；</w:t>
      </w:r>
    </w:p>
    <w:p>
      <w:pPr>
        <w:pStyle w:val="66"/>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（5）配合财政部门的投诉处理和监督检查工作。</w:t>
      </w:r>
    </w:p>
    <w:p>
      <w:pPr>
        <w:pStyle w:val="66"/>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8.3.4 采购代理机构负责组织评标工作并履行下列职责：</w:t>
      </w:r>
    </w:p>
    <w:p>
      <w:pPr>
        <w:pStyle w:val="66"/>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（1）核对评审专家身份和采购人代表授权函，对评审专家在政府采购活动中的职责履行情况予以记录，并及时将有关违法违规行为向财政部门报告；</w:t>
      </w:r>
    </w:p>
    <w:p>
      <w:pPr>
        <w:pStyle w:val="66"/>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（2）宣布评标纪律和开启录音录像设备；</w:t>
      </w:r>
    </w:p>
    <w:p>
      <w:pPr>
        <w:pStyle w:val="66"/>
        <w:spacing w:line="360" w:lineRule="auto"/>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（3）公布投标人名单，告知评标专家应当回避的情形；</w:t>
      </w:r>
    </w:p>
    <w:p>
      <w:pPr>
        <w:pStyle w:val="66"/>
        <w:spacing w:line="360" w:lineRule="auto"/>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（4）组织评标委员会推选评标组长，采购人代表不得担任组长；</w:t>
      </w:r>
    </w:p>
    <w:p>
      <w:pPr>
        <w:widowControl/>
        <w:spacing w:line="360" w:lineRule="auto"/>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bCs/>
          <w:color w:val="auto"/>
          <w:sz w:val="28"/>
          <w:szCs w:val="28"/>
        </w:rPr>
        <w:t>（5）</w:t>
      </w:r>
      <w:r>
        <w:rPr>
          <w:rFonts w:hint="eastAsia" w:ascii="仿宋_GB2312" w:hAnsi="宋体" w:eastAsia="仿宋_GB2312" w:cs="宋体"/>
          <w:color w:val="auto"/>
          <w:kern w:val="0"/>
          <w:sz w:val="28"/>
          <w:szCs w:val="28"/>
        </w:rPr>
        <w:t>在评标期间采取必要的通讯管理措施，保证评标活动不受外界干扰；</w:t>
      </w:r>
    </w:p>
    <w:p>
      <w:pPr>
        <w:pStyle w:val="66"/>
        <w:spacing w:line="360" w:lineRule="auto"/>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（6）根据评标委员会的要求介绍政府采购相关政策法规、招标文件；</w:t>
      </w:r>
    </w:p>
    <w:p>
      <w:pPr>
        <w:pStyle w:val="66"/>
        <w:spacing w:line="360" w:lineRule="auto"/>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 xml:space="preserve">（7）维护评标秩序，监督评标委员会依照评标文件规定的评审程序、方法和标准进行独立评审，及时制止和纠正采购人代表、评审专家的倾向性言论或违法违规行为； </w:t>
      </w:r>
    </w:p>
    <w:p>
      <w:pPr>
        <w:pStyle w:val="66"/>
        <w:spacing w:line="360" w:lineRule="auto"/>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（8）核对评标结果，有《政府采购货物和服务招标投标管理办法》（财政部第87号令）第六十四条规定情形的，要求评标委员会复核或书面说明理由，评标委员会拒绝的，应予记录并向本级财政部门报告；</w:t>
      </w:r>
    </w:p>
    <w:p>
      <w:pPr>
        <w:widowControl/>
        <w:spacing w:line="360" w:lineRule="auto"/>
        <w:ind w:firstLine="560" w:firstLineChars="200"/>
        <w:jc w:val="left"/>
        <w:rPr>
          <w:rFonts w:ascii="仿宋_GB2312" w:hAnsi="宋体" w:eastAsia="仿宋_GB2312"/>
          <w:bCs/>
          <w:color w:val="auto"/>
          <w:sz w:val="28"/>
          <w:szCs w:val="28"/>
        </w:rPr>
      </w:pPr>
      <w:r>
        <w:rPr>
          <w:rFonts w:hint="eastAsia" w:ascii="仿宋_GB2312" w:hAnsi="宋体" w:eastAsia="仿宋_GB2312"/>
          <w:bCs/>
          <w:color w:val="auto"/>
          <w:sz w:val="28"/>
          <w:szCs w:val="28"/>
        </w:rPr>
        <w:t>（9）</w:t>
      </w:r>
      <w:r>
        <w:rPr>
          <w:rFonts w:hint="eastAsia" w:ascii="仿宋_GB2312" w:hAnsi="宋体" w:eastAsia="仿宋_GB2312"/>
          <w:color w:val="auto"/>
          <w:kern w:val="0"/>
          <w:sz w:val="28"/>
          <w:szCs w:val="28"/>
        </w:rPr>
        <w:t>评审工作完成后，按照规定向评审专家支付劳务报酬和异地评审差旅费，不得向评审专家以外的其他人员支付评审劳务报酬；</w:t>
      </w:r>
    </w:p>
    <w:p>
      <w:pPr>
        <w:spacing w:line="360" w:lineRule="auto"/>
        <w:ind w:firstLine="588" w:firstLineChars="210"/>
        <w:rPr>
          <w:rFonts w:ascii="仿宋_GB2312" w:hAnsi="宋体" w:eastAsia="仿宋_GB2312"/>
          <w:color w:val="auto"/>
          <w:sz w:val="28"/>
          <w:szCs w:val="28"/>
        </w:rPr>
      </w:pPr>
      <w:r>
        <w:rPr>
          <w:rFonts w:hint="eastAsia" w:ascii="仿宋_GB2312" w:hAnsi="宋体" w:eastAsia="仿宋_GB2312"/>
          <w:color w:val="auto"/>
          <w:sz w:val="28"/>
          <w:szCs w:val="28"/>
        </w:rPr>
        <w:t>（10）处理与评标有关的其他事项。</w:t>
      </w:r>
    </w:p>
    <w:p>
      <w:pPr>
        <w:spacing w:line="360" w:lineRule="auto"/>
        <w:ind w:firstLine="588" w:firstLineChars="210"/>
        <w:rPr>
          <w:rFonts w:ascii="仿宋_GB2312" w:hAnsi="宋体" w:eastAsia="仿宋_GB2312"/>
          <w:color w:val="auto"/>
          <w:sz w:val="28"/>
          <w:szCs w:val="28"/>
        </w:rPr>
      </w:pPr>
      <w:r>
        <w:rPr>
          <w:rFonts w:hint="eastAsia" w:ascii="仿宋_GB2312" w:hAnsi="宋体" w:eastAsia="仿宋_GB2312"/>
          <w:color w:val="auto"/>
          <w:sz w:val="28"/>
          <w:szCs w:val="28"/>
        </w:rPr>
        <w:t>8.3.5 采购人可以在评标前介绍项目背景和采购需求，介绍内容不得含有歧视性、倾向性意见，不得超出招标文件所述范围。介绍应当提交书面介绍材料，并随采购文件一并存档。</w:t>
      </w:r>
    </w:p>
    <w:p>
      <w:pPr>
        <w:spacing w:line="360" w:lineRule="auto"/>
        <w:ind w:left="120" w:leftChars="57" w:firstLine="420" w:firstLineChars="150"/>
        <w:rPr>
          <w:rFonts w:ascii="仿宋_GB2312" w:hAnsi="宋体" w:eastAsia="仿宋_GB2312"/>
          <w:color w:val="auto"/>
          <w:sz w:val="28"/>
          <w:szCs w:val="28"/>
        </w:rPr>
      </w:pPr>
      <w:r>
        <w:rPr>
          <w:rFonts w:hint="eastAsia" w:ascii="仿宋_GB2312" w:hAnsi="宋体" w:eastAsia="仿宋_GB2312"/>
          <w:color w:val="auto"/>
          <w:sz w:val="28"/>
          <w:szCs w:val="28"/>
        </w:rPr>
        <w:t>8.3.6评标过程严格保密</w:t>
      </w:r>
    </w:p>
    <w:p>
      <w:pPr>
        <w:autoSpaceDE w:val="0"/>
        <w:autoSpaceDN w:val="0"/>
        <w:spacing w:line="360" w:lineRule="auto"/>
        <w:ind w:firstLine="560" w:firstLineChars="200"/>
        <w:rPr>
          <w:rFonts w:ascii="仿宋_GB2312" w:hAnsi="宋体" w:eastAsia="仿宋_GB2312" w:cs="宋体"/>
          <w:color w:val="auto"/>
          <w:kern w:val="0"/>
          <w:sz w:val="28"/>
          <w:szCs w:val="28"/>
        </w:rPr>
      </w:pPr>
      <w:r>
        <w:rPr>
          <w:rFonts w:hint="eastAsia" w:ascii="仿宋_GB2312" w:hAnsi="宋体" w:eastAsia="仿宋_GB2312"/>
          <w:color w:val="auto"/>
          <w:sz w:val="28"/>
          <w:szCs w:val="28"/>
        </w:rPr>
        <w:t xml:space="preserve">8.3.6.1 </w:t>
      </w:r>
      <w:r>
        <w:rPr>
          <w:rFonts w:hint="eastAsia" w:ascii="仿宋_GB2312" w:hAnsi="宋体" w:eastAsia="仿宋_GB2312" w:cs="宋体"/>
          <w:color w:val="auto"/>
          <w:kern w:val="0"/>
          <w:sz w:val="28"/>
          <w:szCs w:val="28"/>
        </w:rPr>
        <w:t>采购人、采购代理机构应当采取必要措施，保证评标在严格保密的情况下进行。除采购人代表、评标现场组织人员外，采购人的其他工作人员以及与评标工作无关的人员不得进入评标现场。</w:t>
      </w:r>
    </w:p>
    <w:p>
      <w:pPr>
        <w:autoSpaceDE w:val="0"/>
        <w:autoSpaceDN w:val="0"/>
        <w:spacing w:line="360" w:lineRule="auto"/>
        <w:ind w:firstLine="560" w:firstLineChars="200"/>
        <w:rPr>
          <w:rFonts w:ascii="仿宋_GB2312" w:hAnsi="宋体" w:eastAsia="仿宋_GB2312"/>
          <w:color w:val="auto"/>
          <w:sz w:val="28"/>
          <w:szCs w:val="28"/>
        </w:rPr>
      </w:pPr>
      <w:r>
        <w:rPr>
          <w:rFonts w:hint="eastAsia" w:ascii="仿宋_GB2312" w:hAnsi="宋体" w:eastAsia="仿宋_GB2312" w:cs="宋体"/>
          <w:color w:val="auto"/>
          <w:kern w:val="0"/>
          <w:sz w:val="28"/>
          <w:szCs w:val="28"/>
        </w:rPr>
        <w:t>8.3.6.2 有关人员对评标情况以及在评标过程中获悉的国家秘密、商业秘密负有保密责任。</w:t>
      </w:r>
      <w:r>
        <w:rPr>
          <w:rFonts w:hint="eastAsia" w:ascii="仿宋_GB2312" w:hAnsi="宋体" w:eastAsia="仿宋_GB2312"/>
          <w:color w:val="auto"/>
          <w:sz w:val="28"/>
          <w:szCs w:val="28"/>
        </w:rPr>
        <w:t>开标后，直至授予中标人合同为止，凡属于对投标文件的审查、澄清、评价和比较的有关资料以及中标候选人的推荐情况，与评标有关的其他任何情况均严格保密。</w:t>
      </w:r>
    </w:p>
    <w:p>
      <w:pPr>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8.3.7 投标人对评标委员会的评标过程或合同授予决定施加影响的任何行为都可能导致其投标被拒绝。</w:t>
      </w:r>
    </w:p>
    <w:p>
      <w:pPr>
        <w:tabs>
          <w:tab w:val="left" w:pos="426"/>
        </w:tabs>
        <w:spacing w:line="360" w:lineRule="auto"/>
        <w:rPr>
          <w:rFonts w:ascii="仿宋_GB2312" w:hAnsi="宋体" w:eastAsia="仿宋_GB2312"/>
          <w:color w:val="auto"/>
          <w:sz w:val="28"/>
          <w:szCs w:val="28"/>
        </w:rPr>
      </w:pPr>
      <w:r>
        <w:rPr>
          <w:rFonts w:hint="eastAsia" w:ascii="仿宋_GB2312" w:hAnsi="宋体" w:eastAsia="仿宋_GB2312"/>
          <w:color w:val="auto"/>
          <w:sz w:val="28"/>
          <w:szCs w:val="28"/>
        </w:rPr>
        <w:t xml:space="preserve">    8.3.8 评标完成后，评标委员会应当向采购人提交书面评标报告，并由采购代理机构转送。</w:t>
      </w:r>
    </w:p>
    <w:p>
      <w:pPr>
        <w:pStyle w:val="4"/>
        <w:spacing w:before="0" w:afterLines="50" w:line="360" w:lineRule="auto"/>
        <w:rPr>
          <w:rFonts w:ascii="仿宋_GB2312" w:eastAsia="仿宋_GB2312"/>
          <w:bCs w:val="0"/>
          <w:color w:val="auto"/>
        </w:rPr>
      </w:pPr>
      <w:bookmarkStart w:id="121" w:name="_Toc73278698"/>
      <w:r>
        <w:rPr>
          <w:rFonts w:hint="eastAsia" w:ascii="仿宋_GB2312" w:eastAsia="仿宋_GB2312"/>
          <w:bCs w:val="0"/>
          <w:color w:val="auto"/>
        </w:rPr>
        <w:t>9.定标</w:t>
      </w:r>
      <w:bookmarkEnd w:id="120"/>
      <w:bookmarkEnd w:id="121"/>
      <w:bookmarkStart w:id="122" w:name="_Toc217446061"/>
    </w:p>
    <w:p>
      <w:pPr>
        <w:pStyle w:val="4"/>
        <w:spacing w:before="0" w:after="0" w:line="360" w:lineRule="auto"/>
        <w:rPr>
          <w:rFonts w:ascii="仿宋_GB2312" w:hAnsi="宋体" w:eastAsia="仿宋_GB2312"/>
          <w:color w:val="auto"/>
          <w:sz w:val="30"/>
          <w:szCs w:val="30"/>
        </w:rPr>
      </w:pPr>
      <w:bookmarkStart w:id="123" w:name="_Toc73278699"/>
      <w:r>
        <w:rPr>
          <w:rFonts w:hint="eastAsia" w:ascii="仿宋_GB2312" w:hAnsi="宋体" w:eastAsia="仿宋_GB2312"/>
          <w:color w:val="auto"/>
          <w:sz w:val="30"/>
          <w:szCs w:val="30"/>
        </w:rPr>
        <w:t>9.1 定标原则</w:t>
      </w:r>
      <w:bookmarkEnd w:id="122"/>
      <w:bookmarkEnd w:id="123"/>
    </w:p>
    <w:p>
      <w:pPr>
        <w:spacing w:line="360" w:lineRule="auto"/>
        <w:ind w:firstLine="548" w:firstLineChars="196"/>
        <w:rPr>
          <w:rFonts w:ascii="仿宋_GB2312" w:hAnsi="宋体" w:eastAsia="仿宋_GB2312"/>
          <w:color w:val="auto"/>
          <w:sz w:val="28"/>
          <w:szCs w:val="28"/>
        </w:rPr>
      </w:pPr>
      <w:bookmarkStart w:id="124" w:name="_Toc217446062"/>
      <w:r>
        <w:rPr>
          <w:rFonts w:hint="eastAsia" w:ascii="仿宋_GB2312" w:hAnsi="宋体" w:eastAsia="仿宋_GB2312"/>
          <w:color w:val="auto"/>
          <w:sz w:val="28"/>
          <w:szCs w:val="28"/>
        </w:rPr>
        <w:t>采购人或其授权的评标委员会按照评标报告中推荐的中标候选人名单，按顺序确定中标人。</w:t>
      </w:r>
    </w:p>
    <w:p>
      <w:pPr>
        <w:pStyle w:val="4"/>
        <w:spacing w:before="0" w:after="0" w:line="360" w:lineRule="auto"/>
        <w:rPr>
          <w:rFonts w:ascii="仿宋_GB2312" w:hAnsi="宋体" w:eastAsia="仿宋_GB2312"/>
          <w:color w:val="auto"/>
          <w:sz w:val="30"/>
          <w:szCs w:val="30"/>
        </w:rPr>
      </w:pPr>
      <w:bookmarkStart w:id="125" w:name="_Toc73278700"/>
      <w:r>
        <w:rPr>
          <w:rFonts w:hint="eastAsia" w:ascii="仿宋_GB2312" w:hAnsi="宋体" w:eastAsia="仿宋_GB2312"/>
          <w:color w:val="auto"/>
          <w:sz w:val="30"/>
          <w:szCs w:val="30"/>
        </w:rPr>
        <w:t>9.2 定标程序</w:t>
      </w:r>
      <w:bookmarkEnd w:id="124"/>
      <w:bookmarkEnd w:id="125"/>
    </w:p>
    <w:p>
      <w:pPr>
        <w:spacing w:line="360" w:lineRule="auto"/>
        <w:ind w:firstLine="560" w:firstLineChars="200"/>
        <w:rPr>
          <w:rFonts w:ascii="仿宋_GB2312" w:hAnsi="宋体" w:eastAsia="仿宋_GB2312"/>
          <w:color w:val="auto"/>
          <w:sz w:val="28"/>
          <w:szCs w:val="28"/>
        </w:rPr>
      </w:pPr>
      <w:bookmarkStart w:id="126" w:name="_Toc183682375"/>
      <w:bookmarkStart w:id="127" w:name="_Toc183582238"/>
      <w:bookmarkStart w:id="128" w:name="_Toc217446063"/>
      <w:r>
        <w:rPr>
          <w:rFonts w:hint="eastAsia" w:ascii="仿宋_GB2312" w:hAnsi="宋体" w:eastAsia="仿宋_GB2312"/>
          <w:color w:val="auto"/>
          <w:sz w:val="28"/>
          <w:szCs w:val="28"/>
        </w:rPr>
        <w:t>9.2.1评标委员会将评标情况写出书面报告，推荐3个中标候选人，并按照综合得分高低标明排列顺序。得分相同的，按投标报价由低到高顺序排列；得分且投标报价相同的并列。</w:t>
      </w:r>
    </w:p>
    <w:p>
      <w:pPr>
        <w:spacing w:line="360" w:lineRule="auto"/>
        <w:ind w:firstLine="490" w:firstLineChars="175"/>
        <w:rPr>
          <w:rFonts w:ascii="仿宋_GB2312" w:hAnsi="宋体" w:eastAsia="仿宋_GB2312"/>
          <w:color w:val="auto"/>
          <w:sz w:val="28"/>
          <w:szCs w:val="28"/>
        </w:rPr>
      </w:pPr>
      <w:r>
        <w:rPr>
          <w:rFonts w:hint="eastAsia" w:ascii="仿宋_GB2312" w:hAnsi="宋体" w:eastAsia="仿宋_GB2312"/>
          <w:color w:val="auto"/>
          <w:sz w:val="28"/>
          <w:szCs w:val="28"/>
        </w:rPr>
        <w:t>9.2.2 采购代理机构在评标结束后1个工作日内将评审报告送采购人。</w:t>
      </w:r>
    </w:p>
    <w:p>
      <w:pPr>
        <w:spacing w:line="360" w:lineRule="auto"/>
        <w:ind w:firstLine="490" w:firstLineChars="175"/>
        <w:rPr>
          <w:rFonts w:ascii="仿宋_GB2312" w:hAnsi="宋体" w:eastAsia="仿宋_GB2312"/>
          <w:color w:val="auto"/>
          <w:sz w:val="28"/>
          <w:szCs w:val="28"/>
        </w:rPr>
      </w:pPr>
      <w:r>
        <w:rPr>
          <w:rFonts w:hint="eastAsia" w:ascii="仿宋_GB2312" w:hAnsi="宋体" w:eastAsia="仿宋_GB2312"/>
          <w:color w:val="auto"/>
          <w:sz w:val="28"/>
          <w:szCs w:val="28"/>
        </w:rPr>
        <w:t>9.2.3 采购人应当在收到评审报告后4个工作日内，按照评审报告中推荐的中标候选人顺序和有关规定确定中标人，第一名中标候选人并列的，由采购人或采取随机抽取方式确定。同时，将中标结果复函至采购代理机构。</w:t>
      </w:r>
    </w:p>
    <w:p>
      <w:pPr>
        <w:spacing w:line="360" w:lineRule="auto"/>
        <w:ind w:firstLine="490" w:firstLineChars="175"/>
        <w:rPr>
          <w:rFonts w:ascii="仿宋_GB2312" w:hAnsi="宋体" w:eastAsia="仿宋_GB2312"/>
          <w:color w:val="auto"/>
          <w:sz w:val="28"/>
          <w:szCs w:val="28"/>
        </w:rPr>
      </w:pPr>
      <w:r>
        <w:rPr>
          <w:rFonts w:hint="eastAsia" w:ascii="仿宋_GB2312" w:hAnsi="宋体" w:eastAsia="仿宋_GB2312"/>
          <w:color w:val="auto"/>
          <w:sz w:val="28"/>
          <w:szCs w:val="28"/>
        </w:rPr>
        <w:t>采购人在收到评标报告5个工作日内未按评标报告推荐的中标候选人顺序确定中标人，又不能说明合法理由的，视同按评标报告推荐的顺序确定排名第一的中标候选人为中标人。</w:t>
      </w:r>
    </w:p>
    <w:p>
      <w:pPr>
        <w:widowControl/>
        <w:spacing w:line="360" w:lineRule="auto"/>
        <w:ind w:firstLine="560" w:firstLineChars="200"/>
        <w:jc w:val="left"/>
        <w:rPr>
          <w:rFonts w:ascii="仿宋_GB2312" w:hAnsi="宋体" w:eastAsia="仿宋_GB2312"/>
          <w:color w:val="auto"/>
          <w:sz w:val="28"/>
          <w:szCs w:val="28"/>
        </w:rPr>
      </w:pPr>
      <w:r>
        <w:rPr>
          <w:rFonts w:hint="eastAsia" w:ascii="仿宋_GB2312" w:hAnsi="宋体" w:eastAsia="仿宋_GB2312"/>
          <w:color w:val="auto"/>
          <w:sz w:val="28"/>
          <w:szCs w:val="28"/>
        </w:rPr>
        <w:t>9.2.4 采购代理机构应当在接到采购人“定标”复函之日起1个工作日内，根据采购人确定的中标人，在“陕西省政府采购网”发布采购结果公告。</w:t>
      </w:r>
    </w:p>
    <w:p>
      <w:pPr>
        <w:widowControl/>
        <w:spacing w:line="360" w:lineRule="auto"/>
        <w:ind w:firstLine="560" w:firstLineChars="200"/>
        <w:jc w:val="left"/>
        <w:rPr>
          <w:rFonts w:ascii="仿宋_GB2312" w:hAnsi="宋体" w:eastAsia="仿宋_GB2312"/>
          <w:color w:val="auto"/>
          <w:sz w:val="28"/>
          <w:szCs w:val="28"/>
        </w:rPr>
      </w:pPr>
      <w:r>
        <w:rPr>
          <w:rFonts w:hint="eastAsia" w:ascii="仿宋_GB2312" w:hAnsi="宋体" w:eastAsia="仿宋_GB2312"/>
          <w:color w:val="auto"/>
          <w:sz w:val="28"/>
          <w:szCs w:val="28"/>
        </w:rPr>
        <w:t>采购结果公告期限为1个工作日。</w:t>
      </w:r>
    </w:p>
    <w:p>
      <w:pPr>
        <w:widowControl/>
        <w:spacing w:line="360" w:lineRule="auto"/>
        <w:ind w:firstLine="560" w:firstLineChars="200"/>
        <w:jc w:val="left"/>
        <w:rPr>
          <w:rFonts w:ascii="仿宋_GB2312" w:hAnsi="宋体" w:eastAsia="仿宋_GB2312"/>
          <w:color w:val="auto"/>
          <w:sz w:val="28"/>
          <w:szCs w:val="28"/>
        </w:rPr>
      </w:pPr>
      <w:r>
        <w:rPr>
          <w:rFonts w:hint="eastAsia" w:ascii="仿宋_GB2312" w:hAnsi="宋体" w:eastAsia="仿宋_GB2312"/>
          <w:color w:val="auto"/>
          <w:sz w:val="28"/>
          <w:szCs w:val="28"/>
        </w:rPr>
        <w:t>在公告采购结果的同时，采购代理机构应当向中标人发出中标通知书；对未通过资格审查的投标人，应当告知其未通过的原因；采用综合评分法评审的，还应当告知未中标人本人的评审得分与排序。</w:t>
      </w:r>
    </w:p>
    <w:p>
      <w:pPr>
        <w:widowControl/>
        <w:spacing w:line="360" w:lineRule="auto"/>
        <w:ind w:firstLine="560" w:firstLineChars="200"/>
        <w:jc w:val="left"/>
        <w:rPr>
          <w:rFonts w:ascii="仿宋_GB2312" w:hAnsi="宋体" w:eastAsia="仿宋_GB2312"/>
          <w:color w:val="auto"/>
          <w:sz w:val="28"/>
          <w:szCs w:val="28"/>
        </w:rPr>
      </w:pPr>
      <w:r>
        <w:rPr>
          <w:rFonts w:hint="eastAsia" w:ascii="仿宋_GB2312" w:hAnsi="宋体" w:eastAsia="仿宋_GB2312"/>
          <w:color w:val="auto"/>
          <w:sz w:val="28"/>
          <w:szCs w:val="28"/>
        </w:rPr>
        <w:t>中标人享受了中小企业发展扶持政策的，其《中小企业声明函》或者《残疾人福利性单位声明函》将随中标公告一并公布。</w:t>
      </w:r>
    </w:p>
    <w:p>
      <w:pPr>
        <w:pStyle w:val="4"/>
        <w:spacing w:before="0" w:after="0" w:line="360" w:lineRule="auto"/>
        <w:rPr>
          <w:rFonts w:ascii="仿宋_GB2312" w:hAnsi="宋体" w:eastAsia="仿宋_GB2312"/>
          <w:color w:val="auto"/>
          <w:sz w:val="30"/>
          <w:szCs w:val="30"/>
        </w:rPr>
      </w:pPr>
      <w:bookmarkStart w:id="129" w:name="_Toc73278701"/>
      <w:r>
        <w:rPr>
          <w:rFonts w:hint="eastAsia" w:ascii="仿宋_GB2312" w:hAnsi="宋体" w:eastAsia="仿宋_GB2312"/>
          <w:color w:val="auto"/>
          <w:sz w:val="30"/>
          <w:szCs w:val="30"/>
        </w:rPr>
        <w:t>9.3 中标通知</w:t>
      </w:r>
      <w:bookmarkEnd w:id="126"/>
      <w:bookmarkEnd w:id="127"/>
      <w:r>
        <w:rPr>
          <w:rFonts w:hint="eastAsia" w:ascii="仿宋_GB2312" w:hAnsi="宋体" w:eastAsia="仿宋_GB2312"/>
          <w:color w:val="auto"/>
          <w:sz w:val="30"/>
          <w:szCs w:val="30"/>
        </w:rPr>
        <w:t>书</w:t>
      </w:r>
      <w:bookmarkEnd w:id="128"/>
      <w:bookmarkEnd w:id="129"/>
    </w:p>
    <w:p>
      <w:pPr>
        <w:tabs>
          <w:tab w:val="left" w:pos="7665"/>
        </w:tabs>
        <w:spacing w:line="360" w:lineRule="auto"/>
        <w:ind w:firstLine="560" w:firstLineChars="200"/>
        <w:rPr>
          <w:rFonts w:ascii="仿宋_GB2312" w:hAnsi="宋体" w:eastAsia="仿宋_GB2312"/>
          <w:color w:val="auto"/>
          <w:sz w:val="28"/>
          <w:szCs w:val="28"/>
        </w:rPr>
      </w:pPr>
      <w:bookmarkStart w:id="130" w:name="_Toc217446064"/>
      <w:bookmarkStart w:id="131" w:name="_Toc183682377"/>
      <w:bookmarkStart w:id="132" w:name="_Toc183582240"/>
      <w:r>
        <w:rPr>
          <w:rFonts w:hint="eastAsia" w:ascii="仿宋_GB2312" w:hAnsi="宋体" w:eastAsia="仿宋_GB2312"/>
          <w:color w:val="auto"/>
          <w:sz w:val="28"/>
          <w:szCs w:val="28"/>
        </w:rPr>
        <w:t>9.3</w:t>
      </w:r>
      <w:r>
        <w:rPr>
          <w:rFonts w:hint="eastAsia" w:ascii="仿宋_GB2312" w:hAnsi="宋体" w:eastAsia="仿宋_GB2312"/>
          <w:b/>
          <w:bCs/>
          <w:color w:val="auto"/>
          <w:sz w:val="28"/>
          <w:szCs w:val="28"/>
        </w:rPr>
        <w:t>.</w:t>
      </w:r>
      <w:r>
        <w:rPr>
          <w:rFonts w:hint="eastAsia" w:ascii="仿宋_GB2312" w:hAnsi="宋体" w:eastAsia="仿宋_GB2312"/>
          <w:color w:val="auto"/>
          <w:sz w:val="28"/>
          <w:szCs w:val="28"/>
        </w:rPr>
        <w:t>1 中标通知书为签订政府采购合同的依据之一，是合同的有效组成部分。</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9.3.2 中标通知书对采购人和中标人均具有法律效力。中标通知书发出后，采购人不得违法改变中标结果，中标人无正当理由不得放弃中标。否则，应当承担相应的法律责任。</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9.3.3 中标人应当在接到采购代理机构通知后及时领取《中标通知书》。</w:t>
      </w:r>
    </w:p>
    <w:p>
      <w:pPr>
        <w:tabs>
          <w:tab w:val="left" w:pos="7665"/>
        </w:tabs>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9.3.4 在《中标通知书》发出后，发现中标人有政府采购法律法规规章制度规定的中标无效情形的，采购代理机构应当宣布发出的中标通知书无效，并收回发出的中标通知书（中标人也应当交回），依法重新确定中标人或者重新开展采购活动，同时向同级财政部门报告。</w:t>
      </w:r>
    </w:p>
    <w:p>
      <w:pPr>
        <w:pStyle w:val="4"/>
        <w:spacing w:before="0" w:afterLines="50" w:line="360" w:lineRule="auto"/>
        <w:rPr>
          <w:rFonts w:ascii="仿宋_GB2312" w:eastAsia="仿宋_GB2312"/>
          <w:bCs w:val="0"/>
          <w:color w:val="auto"/>
        </w:rPr>
      </w:pPr>
      <w:bookmarkStart w:id="133" w:name="_Toc73278702"/>
      <w:r>
        <w:rPr>
          <w:rFonts w:hint="eastAsia" w:ascii="仿宋_GB2312" w:eastAsia="仿宋_GB2312"/>
          <w:bCs w:val="0"/>
          <w:color w:val="auto"/>
        </w:rPr>
        <w:t>10. 合同</w:t>
      </w:r>
      <w:bookmarkEnd w:id="130"/>
      <w:r>
        <w:rPr>
          <w:rFonts w:hint="eastAsia" w:ascii="仿宋_GB2312" w:eastAsia="仿宋_GB2312"/>
          <w:bCs w:val="0"/>
          <w:color w:val="auto"/>
        </w:rPr>
        <w:t>授予</w:t>
      </w:r>
      <w:bookmarkEnd w:id="133"/>
      <w:bookmarkStart w:id="134" w:name="_Toc217446065"/>
    </w:p>
    <w:p>
      <w:pPr>
        <w:pStyle w:val="4"/>
        <w:spacing w:before="0" w:after="0" w:line="360" w:lineRule="auto"/>
        <w:rPr>
          <w:rFonts w:ascii="仿宋_GB2312" w:hAnsi="宋体" w:eastAsia="仿宋_GB2312"/>
          <w:color w:val="auto"/>
          <w:sz w:val="30"/>
          <w:szCs w:val="30"/>
        </w:rPr>
      </w:pPr>
      <w:bookmarkStart w:id="135" w:name="_Toc73278703"/>
      <w:r>
        <w:rPr>
          <w:rFonts w:hint="eastAsia" w:ascii="仿宋_GB2312" w:hAnsi="宋体" w:eastAsia="仿宋_GB2312"/>
          <w:color w:val="auto"/>
          <w:sz w:val="30"/>
          <w:szCs w:val="30"/>
        </w:rPr>
        <w:t>10.1 履约保证金</w:t>
      </w:r>
      <w:bookmarkEnd w:id="135"/>
    </w:p>
    <w:p>
      <w:pPr>
        <w:tabs>
          <w:tab w:val="left" w:pos="7665"/>
        </w:tabs>
        <w:spacing w:line="360" w:lineRule="auto"/>
        <w:ind w:firstLine="482"/>
        <w:rPr>
          <w:rFonts w:ascii="仿宋_GB2312" w:hAnsi="宋体" w:eastAsia="仿宋_GB2312"/>
          <w:color w:val="auto"/>
          <w:sz w:val="28"/>
          <w:szCs w:val="28"/>
        </w:rPr>
      </w:pPr>
      <w:r>
        <w:rPr>
          <w:rFonts w:hint="eastAsia" w:ascii="仿宋_GB2312" w:hAnsi="宋体" w:eastAsia="仿宋_GB2312"/>
          <w:color w:val="auto"/>
          <w:sz w:val="28"/>
          <w:szCs w:val="28"/>
        </w:rPr>
        <w:t>10.1.1 本项目投标人须知前附表规定提交履约保证金的，中标人在收到采购代理机构的中标通知书后10日内，应当按照</w:t>
      </w:r>
      <w:r>
        <w:rPr>
          <w:rFonts w:hint="eastAsia" w:ascii="仿宋_GB2312" w:hAnsi="宋体" w:eastAsia="仿宋_GB2312"/>
          <w:b/>
          <w:color w:val="auto"/>
          <w:sz w:val="28"/>
          <w:szCs w:val="28"/>
        </w:rPr>
        <w:t>投标人须知前附表</w:t>
      </w:r>
      <w:r>
        <w:rPr>
          <w:rFonts w:hint="eastAsia" w:ascii="仿宋_GB2312" w:hAnsi="宋体" w:eastAsia="仿宋_GB2312"/>
          <w:color w:val="auto"/>
          <w:sz w:val="28"/>
          <w:szCs w:val="28"/>
        </w:rPr>
        <w:t>规定的形式、金额，向采购人提交履约保证金或履约担保。联合体中标的，履约保证金或履约担保由联合体各方或者联合体中牵头人的名义提交。</w:t>
      </w:r>
    </w:p>
    <w:p>
      <w:pPr>
        <w:tabs>
          <w:tab w:val="left" w:pos="7665"/>
        </w:tabs>
        <w:spacing w:line="360" w:lineRule="auto"/>
        <w:ind w:firstLine="482"/>
        <w:rPr>
          <w:rFonts w:ascii="仿宋_GB2312" w:hAnsi="宋体" w:eastAsia="仿宋_GB2312"/>
          <w:b/>
          <w:color w:val="auto"/>
          <w:sz w:val="28"/>
          <w:szCs w:val="28"/>
        </w:rPr>
      </w:pPr>
      <w:r>
        <w:rPr>
          <w:rFonts w:hint="eastAsia" w:ascii="仿宋_GB2312" w:hAnsi="宋体" w:eastAsia="仿宋_GB2312"/>
          <w:color w:val="auto"/>
          <w:sz w:val="28"/>
          <w:szCs w:val="28"/>
        </w:rPr>
        <w:t>10.1.2 中标人</w:t>
      </w:r>
      <w:r>
        <w:rPr>
          <w:rFonts w:hint="eastAsia" w:ascii="仿宋_GB2312" w:hAnsi="宋体" w:eastAsia="仿宋_GB2312"/>
          <w:color w:val="auto"/>
          <w:spacing w:val="4"/>
          <w:sz w:val="28"/>
          <w:szCs w:val="28"/>
        </w:rPr>
        <w:t>不能按照本章第10.1.1项规定</w:t>
      </w:r>
      <w:r>
        <w:rPr>
          <w:rFonts w:hint="eastAsia" w:ascii="仿宋_GB2312" w:hAnsi="宋体" w:eastAsia="仿宋_GB2312"/>
          <w:color w:val="auto"/>
          <w:sz w:val="28"/>
          <w:szCs w:val="28"/>
        </w:rPr>
        <w:t>提交履约保证金或履约担保的</w:t>
      </w:r>
      <w:r>
        <w:rPr>
          <w:rFonts w:hint="eastAsia" w:ascii="仿宋_GB2312" w:hAnsi="宋体" w:eastAsia="仿宋_GB2312"/>
          <w:color w:val="auto"/>
          <w:spacing w:val="4"/>
          <w:sz w:val="28"/>
          <w:szCs w:val="28"/>
        </w:rPr>
        <w:t>，视为放弃</w:t>
      </w:r>
      <w:r>
        <w:rPr>
          <w:rFonts w:hint="eastAsia" w:ascii="仿宋_GB2312" w:hAnsi="宋体" w:eastAsia="仿宋_GB2312"/>
          <w:color w:val="auto"/>
          <w:sz w:val="28"/>
          <w:szCs w:val="28"/>
        </w:rPr>
        <w:t>中标资格</w:t>
      </w:r>
      <w:r>
        <w:rPr>
          <w:rFonts w:hint="eastAsia" w:ascii="仿宋_GB2312" w:hAnsi="宋体" w:eastAsia="仿宋_GB2312"/>
          <w:color w:val="auto"/>
          <w:spacing w:val="4"/>
          <w:sz w:val="28"/>
          <w:szCs w:val="28"/>
        </w:rPr>
        <w:t>，</w:t>
      </w:r>
      <w:r>
        <w:rPr>
          <w:rFonts w:hint="eastAsia" w:ascii="仿宋_GB2312" w:hAnsi="宋体" w:eastAsia="仿宋_GB2312"/>
          <w:color w:val="auto"/>
          <w:spacing w:val="2"/>
          <w:sz w:val="28"/>
          <w:szCs w:val="28"/>
        </w:rPr>
        <w:t>有投标保证金的不予退还，给采购人造成损失的，中标人应当予以赔偿。</w:t>
      </w:r>
    </w:p>
    <w:p>
      <w:pPr>
        <w:pStyle w:val="4"/>
        <w:spacing w:before="0" w:after="0" w:line="360" w:lineRule="auto"/>
        <w:rPr>
          <w:rFonts w:ascii="仿宋_GB2312" w:hAnsi="宋体" w:eastAsia="仿宋_GB2312"/>
          <w:color w:val="auto"/>
          <w:sz w:val="30"/>
          <w:szCs w:val="30"/>
        </w:rPr>
      </w:pPr>
      <w:bookmarkStart w:id="136" w:name="_Toc73278704"/>
      <w:r>
        <w:rPr>
          <w:rFonts w:hint="eastAsia" w:ascii="仿宋_GB2312" w:hAnsi="宋体" w:eastAsia="仿宋_GB2312"/>
          <w:color w:val="auto"/>
          <w:sz w:val="30"/>
          <w:szCs w:val="30"/>
        </w:rPr>
        <w:t>10.2 签订合同</w:t>
      </w:r>
      <w:bookmarkEnd w:id="134"/>
      <w:bookmarkEnd w:id="136"/>
    </w:p>
    <w:p>
      <w:pPr>
        <w:spacing w:line="360" w:lineRule="auto"/>
        <w:ind w:firstLine="560" w:firstLineChars="200"/>
        <w:rPr>
          <w:rFonts w:ascii="仿宋_GB2312" w:hAnsi="宋体" w:eastAsia="仿宋_GB2312"/>
          <w:color w:val="auto"/>
          <w:sz w:val="28"/>
          <w:szCs w:val="28"/>
        </w:rPr>
      </w:pPr>
      <w:bookmarkStart w:id="137" w:name="_Toc322606648"/>
      <w:bookmarkStart w:id="138" w:name="_Toc217446066"/>
      <w:r>
        <w:rPr>
          <w:rFonts w:hint="eastAsia" w:ascii="仿宋_GB2312" w:hAnsi="宋体" w:eastAsia="仿宋_GB2312"/>
          <w:color w:val="auto"/>
          <w:sz w:val="28"/>
          <w:szCs w:val="28"/>
        </w:rPr>
        <w:t>10.2.1 采购人应当自《中标通知书》发出之日起30日内，按照招标文件和中标人投标文件的的规定，与中标人签订书面合同。中标人拒签合同，或者在签订合同时向采购人提出附件条件，采购人有权取消其中标资格，已经缴纳的采购代理服务费的不予退还，给采购人造成的损失的，中标人应当予以赔偿。采购人可以按照评审报告推荐的中标候选人名单排序确定下一候选人为中标人并签订合同或者重新开展采购活动。拒绝签订政府采购合同的中标人不得参加对该项目重新开展的采购活动。</w:t>
      </w:r>
    </w:p>
    <w:p>
      <w:pPr>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10.2.2 发出中标通知书后，采购人不得向中标人提出任何不合理要求，作为签订合同的条件，不得与中标人私下订立背离合同实质性内容的任何协议，所签订的合同不得对招标文件确定的事项和中标人投标文件做实质性修改。</w:t>
      </w:r>
    </w:p>
    <w:p>
      <w:pPr>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10.2.3 联合体中标的，联合体各方应当与采购人签订采购合同，就中标项目向采购人承担连带责任。</w:t>
      </w:r>
    </w:p>
    <w:p>
      <w:pPr>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10.2.4 投标人须知前附表规定允许大中企业向小微企业分包的，中标人应当与接受分包的小微企业签订分包合同。</w:t>
      </w:r>
    </w:p>
    <w:p>
      <w:pPr>
        <w:pStyle w:val="4"/>
        <w:spacing w:before="0" w:after="0" w:line="360" w:lineRule="auto"/>
        <w:rPr>
          <w:rFonts w:ascii="仿宋_GB2312" w:hAnsi="宋体" w:eastAsia="仿宋_GB2312"/>
          <w:color w:val="auto"/>
          <w:sz w:val="30"/>
          <w:szCs w:val="30"/>
        </w:rPr>
      </w:pPr>
      <w:bookmarkStart w:id="139" w:name="_Toc73278705"/>
      <w:r>
        <w:rPr>
          <w:rFonts w:hint="eastAsia" w:ascii="仿宋_GB2312" w:hAnsi="宋体" w:eastAsia="仿宋_GB2312"/>
          <w:color w:val="auto"/>
          <w:sz w:val="30"/>
          <w:szCs w:val="30"/>
        </w:rPr>
        <w:t>10.3 合同履行</w:t>
      </w:r>
      <w:bookmarkEnd w:id="137"/>
      <w:bookmarkEnd w:id="139"/>
    </w:p>
    <w:bookmarkEnd w:id="131"/>
    <w:bookmarkEnd w:id="132"/>
    <w:bookmarkEnd w:id="138"/>
    <w:p>
      <w:pPr>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10.3.1 政府采购合同的履行、违约责任和解决争议的方法等适用《中华人民共和国民法典》。</w:t>
      </w:r>
    </w:p>
    <w:p>
      <w:pPr>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10.3.2 政府采购合同订立后，合同各方不得擅自变更或者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pPr>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10.3.3 政府采购合同履行中，采购人需追加与合同标的相同的货物的，在不改变合同其他条款的前提下，可以与中标人签订补充合同，但所补充合同的采购金额不得超过原合同采购金额的百分之十。签订补充合同的应按规定备案。</w:t>
      </w:r>
    </w:p>
    <w:p>
      <w:pPr>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10.3.4 投标人须知前附表规定允许合同分包的，中标人享受了中小企业发展扶持政策，在履行合同时，未按分包意向协议约定的比例分包给小微企业的，视为提供虚假材料谋取中标情形，采购人将依法追究其法律责任。</w:t>
      </w:r>
    </w:p>
    <w:p>
      <w:pPr>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10.3.5 履约验收，采购人按照政府采购合同规定的技术、服务、质量检验标准、验收规范等组织相关部门及人员对中标人履约情况进行验收，并出具验收证明。</w:t>
      </w:r>
    </w:p>
    <w:p>
      <w:pPr>
        <w:pStyle w:val="4"/>
        <w:spacing w:before="0" w:afterLines="50" w:line="360" w:lineRule="auto"/>
        <w:rPr>
          <w:rFonts w:ascii="仿宋_GB2312" w:eastAsia="仿宋_GB2312"/>
          <w:bCs w:val="0"/>
          <w:color w:val="auto"/>
        </w:rPr>
      </w:pPr>
      <w:bookmarkStart w:id="140" w:name="_Toc73278706"/>
      <w:r>
        <w:rPr>
          <w:rFonts w:hint="eastAsia" w:ascii="仿宋_GB2312" w:eastAsia="仿宋_GB2312"/>
          <w:bCs w:val="0"/>
          <w:color w:val="auto"/>
        </w:rPr>
        <w:t>11.废标</w:t>
      </w:r>
      <w:bookmarkEnd w:id="140"/>
      <w:bookmarkStart w:id="141" w:name="_Toc217446072"/>
    </w:p>
    <w:p>
      <w:pPr>
        <w:pStyle w:val="4"/>
        <w:spacing w:before="0" w:after="0" w:line="360" w:lineRule="auto"/>
        <w:rPr>
          <w:rFonts w:ascii="仿宋_GB2312" w:hAnsi="宋体" w:eastAsia="仿宋_GB2312"/>
          <w:color w:val="auto"/>
          <w:sz w:val="30"/>
          <w:szCs w:val="30"/>
        </w:rPr>
      </w:pPr>
      <w:bookmarkStart w:id="142" w:name="_Toc73278707"/>
      <w:r>
        <w:rPr>
          <w:rFonts w:hint="eastAsia" w:ascii="仿宋_GB2312" w:hAnsi="宋体" w:eastAsia="仿宋_GB2312"/>
          <w:color w:val="auto"/>
          <w:sz w:val="30"/>
          <w:szCs w:val="30"/>
        </w:rPr>
        <w:t>11.1废标的情形</w:t>
      </w:r>
      <w:bookmarkEnd w:id="141"/>
      <w:bookmarkEnd w:id="142"/>
    </w:p>
    <w:p>
      <w:pPr>
        <w:pStyle w:val="9"/>
        <w:spacing w:line="360" w:lineRule="auto"/>
        <w:ind w:firstLine="560"/>
        <w:rPr>
          <w:rFonts w:ascii="仿宋_GB2312" w:hAnsi="宋体" w:eastAsia="仿宋_GB2312"/>
          <w:color w:val="auto"/>
          <w:sz w:val="28"/>
          <w:szCs w:val="28"/>
        </w:rPr>
      </w:pPr>
      <w:r>
        <w:rPr>
          <w:rFonts w:hint="eastAsia" w:ascii="仿宋_GB2312" w:hAnsi="宋体" w:eastAsia="仿宋_GB2312"/>
          <w:color w:val="auto"/>
          <w:sz w:val="28"/>
          <w:szCs w:val="28"/>
        </w:rPr>
        <w:t>11.1.1 招标采购中，出现下列情形之一的，应予以废标：</w:t>
      </w:r>
    </w:p>
    <w:p>
      <w:pPr>
        <w:pStyle w:val="9"/>
        <w:spacing w:line="360" w:lineRule="auto"/>
        <w:ind w:firstLine="560"/>
        <w:rPr>
          <w:rFonts w:ascii="仿宋_GB2312" w:hAnsi="宋体" w:eastAsia="仿宋_GB2312"/>
          <w:color w:val="auto"/>
          <w:sz w:val="28"/>
          <w:szCs w:val="28"/>
        </w:rPr>
      </w:pPr>
      <w:r>
        <w:rPr>
          <w:rFonts w:hint="eastAsia" w:ascii="仿宋_GB2312" w:hAnsi="宋体" w:eastAsia="仿宋_GB2312"/>
          <w:color w:val="auto"/>
          <w:sz w:val="28"/>
          <w:szCs w:val="28"/>
        </w:rPr>
        <w:t>（1）符合专业条件的投标人或者对招标文件作实质响应的投标人不足3家的；</w:t>
      </w:r>
    </w:p>
    <w:p>
      <w:pPr>
        <w:pStyle w:val="9"/>
        <w:spacing w:line="360" w:lineRule="auto"/>
        <w:ind w:firstLine="560"/>
        <w:rPr>
          <w:rFonts w:ascii="仿宋_GB2312" w:hAnsi="宋体" w:eastAsia="仿宋_GB2312"/>
          <w:color w:val="auto"/>
          <w:sz w:val="28"/>
          <w:szCs w:val="28"/>
        </w:rPr>
      </w:pPr>
      <w:r>
        <w:rPr>
          <w:rFonts w:hint="eastAsia" w:ascii="仿宋_GB2312" w:hAnsi="宋体" w:eastAsia="仿宋_GB2312"/>
          <w:color w:val="auto"/>
          <w:sz w:val="28"/>
          <w:szCs w:val="28"/>
        </w:rPr>
        <w:t>（2）出现影响采购公正的违法、违规行为的；</w:t>
      </w:r>
    </w:p>
    <w:p>
      <w:pPr>
        <w:pStyle w:val="9"/>
        <w:spacing w:line="360" w:lineRule="auto"/>
        <w:ind w:firstLine="560"/>
        <w:rPr>
          <w:rFonts w:ascii="仿宋_GB2312" w:hAnsi="宋体" w:eastAsia="仿宋_GB2312"/>
          <w:color w:val="auto"/>
          <w:sz w:val="28"/>
          <w:szCs w:val="28"/>
        </w:rPr>
      </w:pPr>
      <w:r>
        <w:rPr>
          <w:rFonts w:hint="eastAsia" w:ascii="仿宋_GB2312" w:hAnsi="宋体" w:eastAsia="仿宋_GB2312"/>
          <w:color w:val="auto"/>
          <w:sz w:val="28"/>
          <w:szCs w:val="28"/>
        </w:rPr>
        <w:t>（3）投标人的报价均超过了采购预算或者最高限价（如有），采购人不能支付的；</w:t>
      </w:r>
    </w:p>
    <w:p>
      <w:pPr>
        <w:pStyle w:val="9"/>
        <w:spacing w:line="360" w:lineRule="auto"/>
        <w:ind w:firstLine="560"/>
        <w:rPr>
          <w:rFonts w:ascii="仿宋_GB2312" w:hAnsi="宋体" w:eastAsia="仿宋_GB2312"/>
          <w:color w:val="auto"/>
          <w:sz w:val="28"/>
          <w:szCs w:val="28"/>
        </w:rPr>
      </w:pPr>
      <w:r>
        <w:rPr>
          <w:rFonts w:hint="eastAsia" w:ascii="仿宋_GB2312" w:hAnsi="宋体" w:eastAsia="仿宋_GB2312"/>
          <w:color w:val="auto"/>
          <w:sz w:val="28"/>
          <w:szCs w:val="28"/>
        </w:rPr>
        <w:t>（4）因重大变故，采购任务取消的。</w:t>
      </w:r>
    </w:p>
    <w:p>
      <w:pPr>
        <w:pStyle w:val="9"/>
        <w:spacing w:line="360" w:lineRule="auto"/>
        <w:ind w:firstLine="560"/>
        <w:rPr>
          <w:rFonts w:ascii="仿宋_GB2312" w:hAnsi="宋体" w:eastAsia="仿宋_GB2312"/>
          <w:color w:val="auto"/>
          <w:sz w:val="28"/>
          <w:szCs w:val="28"/>
        </w:rPr>
      </w:pPr>
      <w:r>
        <w:rPr>
          <w:rFonts w:hint="eastAsia" w:ascii="仿宋_GB2312" w:hAnsi="宋体" w:eastAsia="仿宋_GB2312"/>
          <w:color w:val="auto"/>
          <w:sz w:val="28"/>
          <w:szCs w:val="28"/>
        </w:rPr>
        <w:t>11.1.2 废标后，采购人、采购代理机构应当将废标理由通知所有投标人，并在原公告发布媒体上发布终止公告。</w:t>
      </w:r>
    </w:p>
    <w:p>
      <w:pPr>
        <w:pStyle w:val="9"/>
        <w:spacing w:line="360" w:lineRule="auto"/>
        <w:ind w:firstLine="560"/>
        <w:rPr>
          <w:rFonts w:ascii="仿宋_GB2312" w:hAnsi="宋体" w:eastAsia="仿宋_GB2312"/>
          <w:color w:val="auto"/>
          <w:sz w:val="28"/>
          <w:szCs w:val="28"/>
        </w:rPr>
      </w:pPr>
      <w:r>
        <w:rPr>
          <w:rFonts w:hint="eastAsia" w:ascii="仿宋_GB2312" w:hAnsi="宋体" w:eastAsia="仿宋_GB2312"/>
          <w:color w:val="auto"/>
          <w:sz w:val="28"/>
          <w:szCs w:val="28"/>
        </w:rPr>
        <w:t>11.1.3 因重大变故，采购任务取消终止招标的，采购人、采购代理机构应当及时在原公告发布媒体上发布终止公告，以书面形式通知已经获取招标文件</w:t>
      </w:r>
      <w:r>
        <w:rPr>
          <w:rFonts w:hint="eastAsia" w:ascii="仿宋_GB2312" w:hAnsi="宋体" w:eastAsia="仿宋_GB2312"/>
          <w:b/>
          <w:color w:val="auto"/>
          <w:sz w:val="28"/>
          <w:szCs w:val="28"/>
        </w:rPr>
        <w:t>潜在投标人</w:t>
      </w:r>
      <w:r>
        <w:rPr>
          <w:rFonts w:hint="eastAsia" w:ascii="仿宋_GB2312" w:hAnsi="宋体" w:eastAsia="仿宋_GB2312"/>
          <w:color w:val="auto"/>
          <w:sz w:val="28"/>
          <w:szCs w:val="28"/>
        </w:rPr>
        <w:t>，并将项目实施情况和采购任务取消原因报告本级财政部门。</w:t>
      </w:r>
    </w:p>
    <w:p>
      <w:pPr>
        <w:pStyle w:val="4"/>
        <w:spacing w:before="0" w:after="0" w:line="360" w:lineRule="auto"/>
        <w:rPr>
          <w:rFonts w:ascii="仿宋_GB2312" w:hAnsi="宋体" w:eastAsia="仿宋_GB2312"/>
          <w:color w:val="auto"/>
          <w:sz w:val="30"/>
          <w:szCs w:val="30"/>
        </w:rPr>
      </w:pPr>
      <w:bookmarkStart w:id="143" w:name="_Toc73278708"/>
      <w:r>
        <w:rPr>
          <w:rFonts w:hint="eastAsia" w:ascii="仿宋_GB2312" w:hAnsi="宋体" w:eastAsia="仿宋_GB2312"/>
          <w:color w:val="auto"/>
          <w:sz w:val="30"/>
          <w:szCs w:val="30"/>
        </w:rPr>
        <w:t>11.2 变更采购方式</w:t>
      </w:r>
      <w:bookmarkEnd w:id="143"/>
    </w:p>
    <w:p>
      <w:pPr>
        <w:pStyle w:val="9"/>
        <w:spacing w:line="360" w:lineRule="auto"/>
        <w:ind w:firstLine="560"/>
        <w:rPr>
          <w:rFonts w:ascii="仿宋_GB2312" w:hAnsi="宋体" w:eastAsia="仿宋_GB2312"/>
          <w:color w:val="auto"/>
          <w:sz w:val="28"/>
          <w:szCs w:val="28"/>
        </w:rPr>
      </w:pPr>
      <w:r>
        <w:rPr>
          <w:rFonts w:hint="eastAsia" w:ascii="仿宋_GB2312" w:hAnsi="宋体" w:eastAsia="仿宋_GB2312"/>
          <w:color w:val="auto"/>
          <w:sz w:val="28"/>
          <w:szCs w:val="28"/>
        </w:rPr>
        <w:t>11.2.1 存在下列情形之一的，除采购任务取消情形外，采购人经同级财政部门同意后，可以按《政府采购货物和服务招标投标管理办法》（财政部87号令）第四十三条规定的方式处理：</w:t>
      </w:r>
    </w:p>
    <w:p>
      <w:pPr>
        <w:pStyle w:val="9"/>
        <w:spacing w:line="360" w:lineRule="auto"/>
        <w:ind w:firstLine="560"/>
        <w:rPr>
          <w:rFonts w:ascii="仿宋_GB2312" w:hAnsi="宋体" w:eastAsia="仿宋_GB2312"/>
          <w:color w:val="auto"/>
          <w:sz w:val="28"/>
          <w:szCs w:val="28"/>
        </w:rPr>
      </w:pPr>
      <w:r>
        <w:rPr>
          <w:rFonts w:hint="eastAsia" w:ascii="仿宋_GB2312" w:hAnsi="宋体" w:eastAsia="仿宋_GB2312"/>
          <w:color w:val="auto"/>
          <w:sz w:val="28"/>
          <w:szCs w:val="28"/>
        </w:rPr>
        <w:t>（1）投标截止后参加投标的人不足3家的；</w:t>
      </w:r>
    </w:p>
    <w:p>
      <w:pPr>
        <w:pStyle w:val="9"/>
        <w:spacing w:line="360" w:lineRule="auto"/>
        <w:ind w:firstLine="560"/>
        <w:rPr>
          <w:rFonts w:ascii="仿宋_GB2312" w:hAnsi="宋体" w:eastAsia="仿宋_GB2312"/>
          <w:color w:val="auto"/>
          <w:sz w:val="28"/>
          <w:szCs w:val="28"/>
        </w:rPr>
      </w:pPr>
      <w:r>
        <w:rPr>
          <w:rFonts w:hint="eastAsia" w:ascii="仿宋_GB2312" w:hAnsi="宋体" w:eastAsia="仿宋_GB2312"/>
          <w:color w:val="auto"/>
          <w:sz w:val="28"/>
          <w:szCs w:val="28"/>
        </w:rPr>
        <w:t>（2）通过资格审查的投标人不足3家的；</w:t>
      </w:r>
    </w:p>
    <w:p>
      <w:pPr>
        <w:pStyle w:val="9"/>
        <w:spacing w:line="360" w:lineRule="auto"/>
        <w:ind w:firstLine="560"/>
        <w:rPr>
          <w:rFonts w:ascii="仿宋_GB2312" w:hAnsi="宋体" w:eastAsia="仿宋_GB2312"/>
          <w:color w:val="auto"/>
          <w:sz w:val="28"/>
          <w:szCs w:val="28"/>
        </w:rPr>
      </w:pPr>
      <w:r>
        <w:rPr>
          <w:rFonts w:hint="eastAsia" w:ascii="仿宋_GB2312" w:hAnsi="宋体" w:eastAsia="仿宋_GB2312"/>
          <w:color w:val="auto"/>
          <w:sz w:val="28"/>
          <w:szCs w:val="28"/>
        </w:rPr>
        <w:t>（3）通过符合性审查的投标人不足3家的。</w:t>
      </w:r>
    </w:p>
    <w:p>
      <w:pPr>
        <w:pStyle w:val="9"/>
        <w:spacing w:line="360" w:lineRule="auto"/>
        <w:ind w:firstLine="560"/>
        <w:rPr>
          <w:rFonts w:ascii="仿宋_GB2312" w:hAnsi="宋体" w:eastAsia="仿宋_GB2312"/>
          <w:b/>
          <w:color w:val="auto"/>
          <w:sz w:val="28"/>
          <w:szCs w:val="28"/>
        </w:rPr>
      </w:pPr>
      <w:r>
        <w:rPr>
          <w:rFonts w:hint="eastAsia" w:ascii="仿宋_GB2312" w:hAnsi="宋体" w:eastAsia="仿宋_GB2312"/>
          <w:color w:val="auto"/>
          <w:sz w:val="28"/>
          <w:szCs w:val="28"/>
        </w:rPr>
        <w:t>11.2.2 通过符合性审查的投标人只有2家时，采购人经同级财政部门同意后，可以按《政府采购非招标采购方式管理办法》（财政部第74号令）的规定与该2家投标人进行竞争性谈判采购。</w:t>
      </w:r>
    </w:p>
    <w:p>
      <w:pPr>
        <w:pStyle w:val="4"/>
        <w:spacing w:before="0" w:afterLines="50" w:line="360" w:lineRule="auto"/>
        <w:rPr>
          <w:rFonts w:ascii="仿宋_GB2312" w:eastAsia="仿宋_GB2312"/>
          <w:bCs w:val="0"/>
          <w:color w:val="auto"/>
        </w:rPr>
      </w:pPr>
      <w:bookmarkStart w:id="144" w:name="_Toc73278709"/>
      <w:r>
        <w:rPr>
          <w:rFonts w:hint="eastAsia" w:ascii="仿宋_GB2312" w:eastAsia="仿宋_GB2312"/>
          <w:bCs w:val="0"/>
          <w:color w:val="auto"/>
        </w:rPr>
        <w:t>12.质疑与投诉</w:t>
      </w:r>
      <w:bookmarkEnd w:id="144"/>
    </w:p>
    <w:p>
      <w:pPr>
        <w:pStyle w:val="4"/>
        <w:spacing w:before="0" w:after="0" w:line="360" w:lineRule="auto"/>
        <w:rPr>
          <w:rFonts w:ascii="仿宋_GB2312" w:hAnsi="宋体" w:eastAsia="仿宋_GB2312"/>
          <w:color w:val="auto"/>
          <w:sz w:val="30"/>
          <w:szCs w:val="30"/>
        </w:rPr>
      </w:pPr>
      <w:bookmarkStart w:id="145" w:name="_Toc73278710"/>
      <w:r>
        <w:rPr>
          <w:rFonts w:hint="eastAsia" w:ascii="仿宋_GB2312" w:hAnsi="宋体" w:eastAsia="仿宋_GB2312"/>
          <w:color w:val="auto"/>
          <w:sz w:val="30"/>
          <w:szCs w:val="30"/>
        </w:rPr>
        <w:t>12.1质疑</w:t>
      </w:r>
      <w:bookmarkEnd w:id="145"/>
    </w:p>
    <w:p>
      <w:pPr>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12.1.1 如投标人对本次采购活动有疑问，认为需要提出质疑和投诉的，应当按照《政府采购质疑投诉办法》（财政部94号令）的有关规定办理。</w:t>
      </w:r>
    </w:p>
    <w:p>
      <w:pPr>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12.1.2 投标人对采购文件、采购过程或中标结果使自身的合法权益受到损害，应当在法定期限内，按照质疑函范本格式要求以书面形式向采购代理机构或采购人提出质疑，并附必要的证明材料。</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12.1.3 质疑函应当包括下列内容：</w:t>
      </w:r>
    </w:p>
    <w:p>
      <w:pPr>
        <w:widowControl/>
        <w:spacing w:line="360" w:lineRule="auto"/>
        <w:ind w:firstLine="840" w:firstLineChars="300"/>
        <w:rPr>
          <w:rFonts w:ascii="仿宋_GB2312" w:hAnsi="宋体" w:eastAsia="仿宋_GB2312"/>
          <w:color w:val="auto"/>
          <w:sz w:val="28"/>
          <w:szCs w:val="28"/>
        </w:rPr>
      </w:pPr>
      <w:r>
        <w:rPr>
          <w:rFonts w:hint="eastAsia" w:ascii="仿宋_GB2312" w:hAnsi="宋体" w:eastAsia="仿宋_GB2312"/>
          <w:color w:val="auto"/>
          <w:sz w:val="28"/>
          <w:szCs w:val="28"/>
        </w:rPr>
        <w:t>（1）投标人的姓名或者名称、地址、邮编、联系人及联系电话；</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　（2）质疑项目的名称、编号；</w:t>
      </w:r>
    </w:p>
    <w:p>
      <w:pPr>
        <w:widowControl/>
        <w:spacing w:line="360" w:lineRule="auto"/>
        <w:ind w:firstLine="840" w:firstLineChars="300"/>
        <w:rPr>
          <w:rFonts w:ascii="仿宋_GB2312" w:hAnsi="宋体" w:eastAsia="仿宋_GB2312"/>
          <w:color w:val="auto"/>
          <w:sz w:val="28"/>
          <w:szCs w:val="28"/>
        </w:rPr>
      </w:pPr>
      <w:r>
        <w:rPr>
          <w:rFonts w:hint="eastAsia" w:ascii="仿宋_GB2312" w:hAnsi="宋体" w:eastAsia="仿宋_GB2312"/>
          <w:color w:val="auto"/>
          <w:sz w:val="28"/>
          <w:szCs w:val="28"/>
        </w:rPr>
        <w:t>（3）具体、明确的质疑事项和与质疑事项相关的请求；</w:t>
      </w:r>
    </w:p>
    <w:p>
      <w:pPr>
        <w:widowControl/>
        <w:spacing w:line="360" w:lineRule="auto"/>
        <w:ind w:firstLine="840" w:firstLineChars="300"/>
        <w:rPr>
          <w:rFonts w:ascii="仿宋_GB2312" w:hAnsi="宋体" w:eastAsia="仿宋_GB2312"/>
          <w:color w:val="auto"/>
          <w:sz w:val="28"/>
          <w:szCs w:val="28"/>
        </w:rPr>
      </w:pPr>
      <w:r>
        <w:rPr>
          <w:rFonts w:hint="eastAsia" w:ascii="仿宋_GB2312" w:hAnsi="宋体" w:eastAsia="仿宋_GB2312"/>
          <w:color w:val="auto"/>
          <w:sz w:val="28"/>
          <w:szCs w:val="28"/>
        </w:rPr>
        <w:t>（4）事实依据；</w:t>
      </w:r>
    </w:p>
    <w:p>
      <w:pPr>
        <w:widowControl/>
        <w:spacing w:line="360" w:lineRule="auto"/>
        <w:ind w:firstLine="840" w:firstLineChars="300"/>
        <w:rPr>
          <w:rFonts w:ascii="仿宋_GB2312" w:hAnsi="宋体" w:eastAsia="仿宋_GB2312"/>
          <w:color w:val="auto"/>
          <w:sz w:val="28"/>
          <w:szCs w:val="28"/>
        </w:rPr>
      </w:pPr>
      <w:r>
        <w:rPr>
          <w:rFonts w:hint="eastAsia" w:ascii="仿宋_GB2312" w:hAnsi="宋体" w:eastAsia="仿宋_GB2312"/>
          <w:color w:val="auto"/>
          <w:sz w:val="28"/>
          <w:szCs w:val="28"/>
        </w:rPr>
        <w:t>（5）必要的法律依据；</w:t>
      </w:r>
    </w:p>
    <w:p>
      <w:pPr>
        <w:widowControl/>
        <w:spacing w:line="360" w:lineRule="auto"/>
        <w:ind w:firstLine="840" w:firstLineChars="300"/>
        <w:rPr>
          <w:rFonts w:ascii="仿宋_GB2312" w:hAnsi="宋体" w:eastAsia="仿宋_GB2312"/>
          <w:color w:val="auto"/>
          <w:sz w:val="28"/>
          <w:szCs w:val="28"/>
        </w:rPr>
      </w:pPr>
      <w:r>
        <w:rPr>
          <w:rFonts w:hint="eastAsia" w:ascii="仿宋_GB2312" w:hAnsi="宋体" w:eastAsia="仿宋_GB2312"/>
          <w:color w:val="auto"/>
          <w:sz w:val="28"/>
          <w:szCs w:val="28"/>
        </w:rPr>
        <w:t>（6）提出质疑的日期。</w:t>
      </w:r>
    </w:p>
    <w:p>
      <w:pPr>
        <w:widowControl/>
        <w:spacing w:line="360" w:lineRule="auto"/>
        <w:ind w:firstLine="840" w:firstLineChars="300"/>
        <w:rPr>
          <w:rFonts w:ascii="仿宋_GB2312" w:hAnsi="宋体" w:eastAsia="仿宋_GB2312"/>
          <w:color w:val="auto"/>
          <w:sz w:val="28"/>
          <w:szCs w:val="28"/>
        </w:rPr>
      </w:pPr>
      <w:r>
        <w:rPr>
          <w:rFonts w:hint="eastAsia" w:ascii="仿宋_GB2312" w:hAnsi="宋体" w:eastAsia="仿宋_GB2312"/>
          <w:color w:val="auto"/>
          <w:sz w:val="28"/>
          <w:szCs w:val="28"/>
        </w:rPr>
        <w:t>投标人为自然人的，应当由本人签字；投标人为法人或者其他组织的，应当由法定代表人、主要负责人，或者其授权代表签字或者盖章，并加盖单位章。</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12.1.4质疑人可以委托代理人办理质疑事项，代理人办理质疑事项时，除提交质疑函外，还应当提交质疑人的营业执照或法人证书复印件和授权委托书及代理人的有效身份证明，授权委托书应当载明委托代理的具体权限期限和相关事项。</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12.1.5 质疑函范本格式在中国政府采购网站（http://www.ccgp.gov.cn/）自行下载。</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12.1.6 接收质疑函的联系部门、联系电话和通讯地址同招标公告。</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12.1.7 有下列情形之一的，属于无效质疑，采购代理机构和采购人不予受理：</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（1）质疑人不是参与本次政府采购项目的投标人；</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（2）质疑人与质疑事项不存在利害关系的；</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（3）未在法定期限内提出质疑的；</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（4）质疑未以书面形式提出，以传真、电子邮件、移动通信等形式即时收悉提交的质疑材料；</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（5）质疑未按质疑函范本格式提出的；</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（6）质疑书没有合法有效的签字、盖章的；</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（7）未提交营业执照或法人证书复印件，由授权代表签字的，未提交授权委托书；</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（8）以非法手段取得证据、材料的；</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（9）质疑答复后，同一质疑人就同一事项再次提出质疑的；</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（10）不符合法律法规、规章和规范性文件规定的其他条件的。</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12.1.8 采购代理机构或采购人将在收到书面质疑后7个工作日内做出答复，并以书面形式通知质疑人和其他有关投标人。</w:t>
      </w:r>
    </w:p>
    <w:p>
      <w:pPr>
        <w:pStyle w:val="4"/>
        <w:spacing w:before="0" w:after="0" w:line="360" w:lineRule="auto"/>
        <w:rPr>
          <w:rFonts w:ascii="仿宋_GB2312" w:hAnsi="宋体" w:eastAsia="仿宋_GB2312"/>
          <w:color w:val="auto"/>
          <w:sz w:val="30"/>
          <w:szCs w:val="30"/>
        </w:rPr>
      </w:pPr>
      <w:bookmarkStart w:id="146" w:name="_Toc73278711"/>
      <w:r>
        <w:rPr>
          <w:rFonts w:hint="eastAsia" w:ascii="仿宋_GB2312" w:hAnsi="宋体" w:eastAsia="仿宋_GB2312"/>
          <w:color w:val="auto"/>
          <w:sz w:val="30"/>
          <w:szCs w:val="30"/>
        </w:rPr>
        <w:t>12.2 投诉</w:t>
      </w:r>
      <w:bookmarkEnd w:id="146"/>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12.2.1 质疑人对采购代理机构或采购人的答复不满意，或者采购人、采购代理机构未在规定时间内作出答复的，可以在答复期满后15个工作日内向</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财政部门）提起投诉，联系电话：</w:t>
      </w:r>
      <w:r>
        <w:rPr>
          <w:rFonts w:hint="eastAsia" w:ascii="仿宋_GB2312" w:hAnsi="宋体" w:eastAsia="仿宋_GB2312"/>
          <w:color w:val="auto"/>
          <w:sz w:val="28"/>
          <w:szCs w:val="28"/>
          <w:u w:val="single"/>
        </w:rPr>
        <w:t>029-85688753</w:t>
      </w:r>
      <w:r>
        <w:rPr>
          <w:rFonts w:hint="eastAsia" w:ascii="仿宋_GB2312" w:hAnsi="宋体" w:eastAsia="仿宋_GB2312"/>
          <w:color w:val="auto"/>
          <w:sz w:val="28"/>
          <w:szCs w:val="28"/>
        </w:rPr>
        <w:t>。</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12.2.2 投诉人投诉时,应当提交投诉书和必要的证明材料，并按照被投诉采购人、采购代理机构（以下简称被投诉人）和与投诉事项有关的投标人数量提供投诉书的副本。投诉书应当包括下列内容：</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（1）投诉人和被投诉人的姓名或者名称、通讯地址、邮编、联系人及联系电话；</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（2）质疑和质疑答复情况说明及相关证明材料；</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（3）具体、明确的投诉事项和与投诉事项相关的投诉请求；</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（4）事实依据；</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（5）法律依据；</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（6）提起投诉的日期。</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投诉人为自然人的，应当由本人签字；投诉人为法人或者其他组织的，应当由法定代表人、主要负责人，或者其授权代表签字或者盖章，并加盖单位章。</w:t>
      </w:r>
    </w:p>
    <w:p>
      <w:pPr>
        <w:spacing w:line="360" w:lineRule="auto"/>
        <w:ind w:firstLine="560" w:firstLineChars="200"/>
        <w:jc w:val="left"/>
        <w:rPr>
          <w:rFonts w:ascii="仿宋_GB2312" w:hAnsi="宋体" w:eastAsia="仿宋_GB2312"/>
          <w:color w:val="auto"/>
          <w:sz w:val="28"/>
          <w:szCs w:val="28"/>
        </w:rPr>
      </w:pPr>
      <w:r>
        <w:rPr>
          <w:rFonts w:hint="eastAsia" w:ascii="仿宋_GB2312" w:hAnsi="宋体" w:eastAsia="仿宋_GB2312"/>
          <w:color w:val="auto"/>
          <w:sz w:val="28"/>
          <w:szCs w:val="28"/>
        </w:rPr>
        <w:t>12.2.3 投诉书范本格式在中国政府采购网站（http://www.ccgp.gov.cn/）自行下载。</w:t>
      </w:r>
    </w:p>
    <w:p>
      <w:pPr>
        <w:spacing w:line="360" w:lineRule="auto"/>
        <w:ind w:firstLine="560" w:firstLineChars="200"/>
        <w:jc w:val="left"/>
        <w:rPr>
          <w:rFonts w:ascii="仿宋_GB2312" w:hAnsi="宋体" w:eastAsia="仿宋_GB2312"/>
          <w:color w:val="auto"/>
          <w:sz w:val="28"/>
          <w:szCs w:val="28"/>
        </w:rPr>
      </w:pPr>
      <w:r>
        <w:rPr>
          <w:rFonts w:hint="eastAsia" w:ascii="仿宋_GB2312" w:hAnsi="宋体" w:eastAsia="仿宋_GB2312"/>
          <w:color w:val="auto"/>
          <w:sz w:val="28"/>
          <w:szCs w:val="28"/>
        </w:rPr>
        <w:t>12.2.4 投诉人提起投诉应当符合下列条件：</w:t>
      </w:r>
    </w:p>
    <w:p>
      <w:pPr>
        <w:spacing w:line="360" w:lineRule="auto"/>
        <w:ind w:firstLine="560" w:firstLineChars="200"/>
        <w:jc w:val="left"/>
        <w:rPr>
          <w:rFonts w:ascii="仿宋_GB2312" w:hAnsi="宋体" w:eastAsia="仿宋_GB2312"/>
          <w:color w:val="auto"/>
          <w:sz w:val="28"/>
          <w:szCs w:val="28"/>
        </w:rPr>
      </w:pPr>
      <w:r>
        <w:rPr>
          <w:rFonts w:hint="eastAsia" w:ascii="仿宋_GB2312" w:hAnsi="宋体" w:eastAsia="仿宋_GB2312"/>
          <w:color w:val="auto"/>
          <w:sz w:val="28"/>
          <w:szCs w:val="28"/>
        </w:rPr>
        <w:t>（1）提起投诉前已依法进行质疑；</w:t>
      </w:r>
    </w:p>
    <w:p>
      <w:pPr>
        <w:spacing w:line="360" w:lineRule="auto"/>
        <w:ind w:firstLine="560" w:firstLineChars="200"/>
        <w:jc w:val="left"/>
        <w:rPr>
          <w:rFonts w:ascii="仿宋_GB2312" w:hAnsi="宋体" w:eastAsia="仿宋_GB2312"/>
          <w:color w:val="auto"/>
          <w:sz w:val="28"/>
          <w:szCs w:val="28"/>
        </w:rPr>
      </w:pPr>
      <w:r>
        <w:rPr>
          <w:rFonts w:hint="eastAsia" w:ascii="仿宋_GB2312" w:hAnsi="宋体" w:eastAsia="仿宋_GB2312"/>
          <w:color w:val="auto"/>
          <w:sz w:val="28"/>
          <w:szCs w:val="28"/>
        </w:rPr>
        <w:t>（2）投诉书内容符合财政部94号令的规定；</w:t>
      </w:r>
    </w:p>
    <w:p>
      <w:pPr>
        <w:spacing w:line="360" w:lineRule="auto"/>
        <w:ind w:firstLine="560" w:firstLineChars="200"/>
        <w:jc w:val="left"/>
        <w:rPr>
          <w:rFonts w:ascii="仿宋_GB2312" w:hAnsi="宋体" w:eastAsia="仿宋_GB2312"/>
          <w:color w:val="auto"/>
          <w:sz w:val="28"/>
          <w:szCs w:val="28"/>
        </w:rPr>
      </w:pPr>
      <w:r>
        <w:rPr>
          <w:rFonts w:hint="eastAsia" w:ascii="仿宋_GB2312" w:hAnsi="宋体" w:eastAsia="仿宋_GB2312"/>
          <w:color w:val="auto"/>
          <w:sz w:val="28"/>
          <w:szCs w:val="28"/>
        </w:rPr>
        <w:t>（3）在投诉有效期限内提起投诉；</w:t>
      </w:r>
    </w:p>
    <w:p>
      <w:pPr>
        <w:spacing w:line="360" w:lineRule="auto"/>
        <w:ind w:firstLine="560" w:firstLineChars="200"/>
        <w:jc w:val="left"/>
        <w:rPr>
          <w:rFonts w:ascii="仿宋_GB2312" w:hAnsi="宋体" w:eastAsia="仿宋_GB2312"/>
          <w:color w:val="auto"/>
          <w:sz w:val="28"/>
          <w:szCs w:val="28"/>
        </w:rPr>
      </w:pPr>
      <w:r>
        <w:rPr>
          <w:rFonts w:hint="eastAsia" w:ascii="仿宋_GB2312" w:hAnsi="宋体" w:eastAsia="仿宋_GB2312"/>
          <w:color w:val="auto"/>
          <w:sz w:val="28"/>
          <w:szCs w:val="28"/>
        </w:rPr>
        <w:t>（4）同一投诉事项未经财政部门投诉处理；</w:t>
      </w:r>
    </w:p>
    <w:p>
      <w:pPr>
        <w:spacing w:line="360" w:lineRule="auto"/>
        <w:ind w:firstLine="560" w:firstLineChars="200"/>
        <w:jc w:val="left"/>
        <w:rPr>
          <w:rFonts w:ascii="仿宋_GB2312" w:hAnsi="宋体" w:eastAsia="仿宋_GB2312"/>
          <w:color w:val="auto"/>
          <w:sz w:val="28"/>
          <w:szCs w:val="28"/>
        </w:rPr>
      </w:pPr>
      <w:r>
        <w:rPr>
          <w:rFonts w:hint="eastAsia" w:ascii="仿宋_GB2312" w:hAnsi="宋体" w:eastAsia="仿宋_GB2312"/>
          <w:color w:val="auto"/>
          <w:sz w:val="28"/>
          <w:szCs w:val="28"/>
        </w:rPr>
        <w:t>（5）财政部规定的其他条件。</w:t>
      </w:r>
    </w:p>
    <w:p>
      <w:pPr>
        <w:spacing w:line="360" w:lineRule="auto"/>
        <w:ind w:firstLine="560" w:firstLineChars="200"/>
        <w:jc w:val="left"/>
        <w:rPr>
          <w:rFonts w:ascii="仿宋_GB2312" w:hAnsi="宋体" w:eastAsia="仿宋_GB2312"/>
          <w:color w:val="auto"/>
          <w:sz w:val="28"/>
          <w:szCs w:val="28"/>
        </w:rPr>
      </w:pPr>
      <w:r>
        <w:rPr>
          <w:rFonts w:hint="eastAsia" w:ascii="仿宋_GB2312" w:hAnsi="宋体" w:eastAsia="仿宋_GB2312"/>
          <w:color w:val="auto"/>
          <w:sz w:val="28"/>
          <w:szCs w:val="28"/>
        </w:rPr>
        <w:t>12.2.5  投诉人投诉的事项不得超出已质疑事项的范围，但基于质疑答复内容提出的投诉事项除外。</w:t>
      </w:r>
    </w:p>
    <w:p>
      <w:pPr>
        <w:pStyle w:val="4"/>
        <w:spacing w:before="0" w:afterLines="50" w:line="360" w:lineRule="auto"/>
        <w:rPr>
          <w:rFonts w:ascii="仿宋_GB2312" w:eastAsia="仿宋_GB2312"/>
          <w:bCs w:val="0"/>
          <w:color w:val="auto"/>
        </w:rPr>
      </w:pPr>
      <w:bookmarkStart w:id="147" w:name="_Toc73278712"/>
      <w:r>
        <w:rPr>
          <w:rFonts w:hint="eastAsia" w:ascii="仿宋_GB2312" w:eastAsia="仿宋_GB2312"/>
          <w:bCs w:val="0"/>
          <w:color w:val="auto"/>
        </w:rPr>
        <w:t>13.其他</w:t>
      </w:r>
      <w:bookmarkEnd w:id="147"/>
    </w:p>
    <w:p>
      <w:pPr>
        <w:pStyle w:val="4"/>
        <w:spacing w:before="0" w:after="0" w:line="360" w:lineRule="auto"/>
        <w:rPr>
          <w:rFonts w:ascii="仿宋_GB2312" w:hAnsi="宋体" w:eastAsia="仿宋_GB2312"/>
          <w:color w:val="auto"/>
          <w:sz w:val="30"/>
          <w:szCs w:val="30"/>
        </w:rPr>
      </w:pPr>
      <w:bookmarkStart w:id="148" w:name="_Toc73278713"/>
      <w:r>
        <w:rPr>
          <w:rFonts w:hint="eastAsia" w:ascii="仿宋_GB2312" w:hAnsi="宋体" w:eastAsia="仿宋_GB2312"/>
          <w:color w:val="auto"/>
          <w:sz w:val="30"/>
          <w:szCs w:val="30"/>
        </w:rPr>
        <w:t>13.1中标人融资</w:t>
      </w:r>
      <w:bookmarkEnd w:id="148"/>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政府采购信用融资是指银行业金融机构以政府采购诚信考核和信用审查为基础，凭借政府采购合同，按优于一般中小企业的贷款利率直接向申请贷款的供应商发放贷款的一种融资方式。</w:t>
      </w:r>
    </w:p>
    <w:p>
      <w:pPr>
        <w:widowControl/>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政府采购信用融资平台（含各市分平台）”查询并办理相关业务。</w:t>
      </w:r>
    </w:p>
    <w:p>
      <w:pPr>
        <w:pStyle w:val="4"/>
        <w:spacing w:before="0" w:after="0" w:line="360" w:lineRule="auto"/>
        <w:rPr>
          <w:rFonts w:ascii="仿宋_GB2312" w:hAnsi="宋体" w:eastAsia="仿宋_GB2312"/>
          <w:color w:val="auto"/>
          <w:sz w:val="30"/>
          <w:szCs w:val="30"/>
        </w:rPr>
      </w:pPr>
      <w:bookmarkStart w:id="149" w:name="_Toc73278714"/>
      <w:r>
        <w:rPr>
          <w:rFonts w:hint="eastAsia" w:ascii="仿宋_GB2312" w:hAnsi="宋体" w:eastAsia="仿宋_GB2312"/>
          <w:color w:val="auto"/>
          <w:sz w:val="30"/>
          <w:szCs w:val="30"/>
        </w:rPr>
        <w:t>13.2 采购代理服务费</w:t>
      </w:r>
      <w:bookmarkEnd w:id="149"/>
    </w:p>
    <w:p>
      <w:pPr>
        <w:spacing w:line="360" w:lineRule="auto"/>
        <w:ind w:firstLine="573"/>
        <w:rPr>
          <w:rFonts w:ascii="仿宋_GB2312" w:hAnsi="宋体" w:eastAsia="仿宋_GB2312"/>
          <w:color w:val="auto"/>
          <w:sz w:val="28"/>
          <w:szCs w:val="28"/>
        </w:rPr>
      </w:pPr>
      <w:r>
        <w:rPr>
          <w:rFonts w:hint="eastAsia" w:ascii="仿宋_GB2312" w:hAnsi="宋体" w:eastAsia="仿宋_GB2312"/>
          <w:color w:val="auto"/>
          <w:sz w:val="28"/>
          <w:szCs w:val="28"/>
        </w:rPr>
        <w:t>13.2.1 采购人与采购代理机构约定，由中标人支付采购代理服务费的，中标人在领取《中标通知书》之前，应当向采购代理机构交纳采购代理服务费。</w:t>
      </w:r>
    </w:p>
    <w:p>
      <w:pPr>
        <w:spacing w:line="360" w:lineRule="auto"/>
        <w:ind w:firstLine="573"/>
        <w:rPr>
          <w:rFonts w:ascii="仿宋_GB2312" w:hAnsi="宋体" w:eastAsia="仿宋_GB2312"/>
          <w:color w:val="auto"/>
          <w:sz w:val="28"/>
          <w:szCs w:val="28"/>
        </w:rPr>
      </w:pPr>
      <w:r>
        <w:rPr>
          <w:rFonts w:hint="eastAsia" w:ascii="仿宋_GB2312" w:hAnsi="宋体" w:eastAsia="仿宋_GB2312"/>
          <w:color w:val="auto"/>
          <w:sz w:val="28"/>
          <w:szCs w:val="28"/>
        </w:rPr>
        <w:t>13.2.2 采购代理服务费依据《国家计委关于印发招标代理服务收费管理暂行办法的通知》（计价格【2002】1980号）规定的货物类标准，以本项目采购预算金额为计费基础计算收取。具体收费金额将在采购接公告中公布。</w:t>
      </w:r>
    </w:p>
    <w:p>
      <w:pPr>
        <w:spacing w:line="360" w:lineRule="auto"/>
        <w:ind w:firstLine="573"/>
        <w:rPr>
          <w:rFonts w:ascii="仿宋_GB2312" w:hAnsi="宋体" w:eastAsia="仿宋_GB2312"/>
          <w:color w:val="auto"/>
          <w:sz w:val="28"/>
          <w:szCs w:val="28"/>
        </w:rPr>
      </w:pPr>
      <w:r>
        <w:rPr>
          <w:rFonts w:hint="eastAsia" w:ascii="仿宋_GB2312" w:hAnsi="宋体" w:eastAsia="仿宋_GB2312"/>
          <w:color w:val="auto"/>
          <w:sz w:val="28"/>
          <w:szCs w:val="28"/>
        </w:rPr>
        <w:t>13.2.3 采购代理服务费，中标人可以采取现金或者支票、银行汇票、电汇、网银等金融机构转账方式交纳。</w:t>
      </w:r>
    </w:p>
    <w:p>
      <w:pPr>
        <w:pStyle w:val="4"/>
        <w:spacing w:before="0" w:after="0" w:line="360" w:lineRule="auto"/>
        <w:rPr>
          <w:rFonts w:ascii="仿宋_GB2312" w:hAnsi="宋体" w:eastAsia="仿宋_GB2312"/>
          <w:color w:val="auto"/>
          <w:sz w:val="30"/>
          <w:szCs w:val="30"/>
        </w:rPr>
      </w:pPr>
      <w:bookmarkStart w:id="150" w:name="_Toc73278715"/>
      <w:r>
        <w:rPr>
          <w:rFonts w:hint="eastAsia" w:ascii="仿宋_GB2312" w:hAnsi="宋体" w:eastAsia="仿宋_GB2312"/>
          <w:color w:val="auto"/>
          <w:sz w:val="30"/>
          <w:szCs w:val="30"/>
        </w:rPr>
        <w:t>13.3 录音录像</w:t>
      </w:r>
      <w:bookmarkEnd w:id="150"/>
    </w:p>
    <w:p>
      <w:pPr>
        <w:spacing w:line="360" w:lineRule="auto"/>
        <w:ind w:firstLine="573"/>
        <w:rPr>
          <w:rFonts w:ascii="仿宋_GB2312" w:hAnsi="宋体" w:eastAsia="仿宋_GB2312"/>
          <w:color w:val="auto"/>
          <w:sz w:val="28"/>
          <w:szCs w:val="28"/>
        </w:rPr>
      </w:pPr>
      <w:r>
        <w:rPr>
          <w:rFonts w:hint="eastAsia" w:ascii="仿宋_GB2312" w:hAnsi="宋体" w:eastAsia="仿宋_GB2312"/>
          <w:color w:val="auto"/>
          <w:sz w:val="28"/>
          <w:szCs w:val="28"/>
        </w:rPr>
        <w:t>采购代理机构对开标、投标人资格审查和评标过程进行全程录音录像、文字记录，并存档备查。</w:t>
      </w:r>
    </w:p>
    <w:p>
      <w:pPr>
        <w:pStyle w:val="4"/>
        <w:spacing w:before="0" w:after="0" w:line="360" w:lineRule="auto"/>
        <w:rPr>
          <w:rFonts w:ascii="仿宋_GB2312" w:hAnsi="宋体" w:eastAsia="仿宋_GB2312"/>
          <w:color w:val="auto"/>
          <w:sz w:val="30"/>
          <w:szCs w:val="30"/>
        </w:rPr>
      </w:pPr>
      <w:bookmarkStart w:id="151" w:name="_Toc73278716"/>
      <w:r>
        <w:rPr>
          <w:rFonts w:hint="eastAsia" w:ascii="仿宋_GB2312" w:hAnsi="宋体" w:eastAsia="仿宋_GB2312"/>
          <w:color w:val="auto"/>
          <w:sz w:val="30"/>
          <w:szCs w:val="30"/>
        </w:rPr>
        <w:t>13.4需要补充的其他内容</w:t>
      </w:r>
      <w:bookmarkEnd w:id="151"/>
    </w:p>
    <w:p>
      <w:pPr>
        <w:adjustRightInd w:val="0"/>
        <w:snapToGrid w:val="0"/>
        <w:spacing w:beforeLines="50" w:line="360" w:lineRule="auto"/>
        <w:ind w:firstLine="560" w:firstLineChars="200"/>
        <w:jc w:val="left"/>
        <w:rPr>
          <w:rFonts w:ascii="仿宋_GB2312" w:hAnsi="宋体" w:eastAsia="仿宋_GB2312"/>
          <w:color w:val="auto"/>
          <w:sz w:val="28"/>
          <w:szCs w:val="28"/>
        </w:rPr>
      </w:pPr>
      <w:r>
        <w:rPr>
          <w:rFonts w:hint="eastAsia" w:ascii="仿宋_GB2312" w:hAnsi="宋体" w:eastAsia="仿宋_GB2312"/>
          <w:color w:val="auto"/>
          <w:sz w:val="28"/>
          <w:szCs w:val="28"/>
        </w:rPr>
        <w:t>招标文件需要补充的其他内容见</w:t>
      </w:r>
      <w:r>
        <w:rPr>
          <w:rFonts w:hint="eastAsia" w:ascii="仿宋_GB2312" w:hAnsi="宋体" w:eastAsia="仿宋_GB2312"/>
          <w:b/>
          <w:color w:val="auto"/>
          <w:sz w:val="28"/>
          <w:szCs w:val="28"/>
        </w:rPr>
        <w:t>投标人须知前附表</w:t>
      </w:r>
      <w:r>
        <w:rPr>
          <w:rFonts w:hint="eastAsia" w:ascii="仿宋_GB2312" w:hAnsi="宋体" w:eastAsia="仿宋_GB2312"/>
          <w:color w:val="auto"/>
          <w:sz w:val="28"/>
          <w:szCs w:val="28"/>
        </w:rPr>
        <w:t>。</w:t>
      </w: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pStyle w:val="3"/>
        <w:adjustRightInd w:val="0"/>
        <w:snapToGrid w:val="0"/>
        <w:spacing w:before="0" w:after="0" w:line="360" w:lineRule="auto"/>
        <w:jc w:val="center"/>
        <w:rPr>
          <w:rFonts w:ascii="黑体" w:hAnsi="黑体" w:eastAsia="黑体" w:cs="仿宋_GB2312"/>
          <w:color w:val="auto"/>
        </w:rPr>
      </w:pPr>
      <w:bookmarkStart w:id="152" w:name="_Toc73278717"/>
      <w:r>
        <w:rPr>
          <w:rFonts w:hint="eastAsia" w:ascii="黑体" w:hAnsi="黑体" w:eastAsia="黑体" w:cs="仿宋_GB2312"/>
          <w:color w:val="auto"/>
        </w:rPr>
        <w:t>第三章 评标办法</w:t>
      </w:r>
      <w:bookmarkEnd w:id="152"/>
    </w:p>
    <w:p>
      <w:pPr>
        <w:spacing w:line="500" w:lineRule="exact"/>
        <w:ind w:firstLine="700" w:firstLineChars="250"/>
        <w:rPr>
          <w:rFonts w:ascii="仿宋_GB2312" w:hAnsi="宋体" w:eastAsia="仿宋_GB2312"/>
          <w:color w:val="auto"/>
          <w:sz w:val="28"/>
          <w:szCs w:val="28"/>
        </w:rPr>
      </w:pPr>
      <w:r>
        <w:rPr>
          <w:rFonts w:hint="eastAsia" w:ascii="仿宋_GB2312" w:hAnsi="宋体" w:eastAsia="仿宋_GB2312"/>
          <w:color w:val="auto"/>
          <w:sz w:val="28"/>
          <w:szCs w:val="28"/>
        </w:rPr>
        <w:t>根据《中华人民共和国政府采购法》、《中华人民共和国政府采购法实施条例》和《政府采购货物和服务招标投标管理办法》（财政部第87号令）等法律法规规定，结合采购项目特点，制定本评标办法。</w:t>
      </w:r>
    </w:p>
    <w:p>
      <w:pPr>
        <w:spacing w:beforeLines="30" w:afterLines="30" w:line="360" w:lineRule="auto"/>
        <w:rPr>
          <w:rFonts w:ascii="仿宋_GB2312" w:hAnsi="宋体" w:eastAsia="仿宋_GB2312"/>
          <w:b/>
          <w:color w:val="auto"/>
          <w:sz w:val="32"/>
          <w:szCs w:val="32"/>
        </w:rPr>
      </w:pPr>
      <w:r>
        <w:rPr>
          <w:rFonts w:hint="eastAsia" w:ascii="仿宋_GB2312" w:hAnsi="宋体" w:eastAsia="仿宋_GB2312"/>
          <w:b/>
          <w:color w:val="auto"/>
          <w:sz w:val="32"/>
          <w:szCs w:val="32"/>
        </w:rPr>
        <w:t>1.评标程序</w:t>
      </w:r>
    </w:p>
    <w:p>
      <w:pPr>
        <w:spacing w:beforeLines="30" w:afterLines="30" w:line="360" w:lineRule="auto"/>
        <w:rPr>
          <w:rFonts w:ascii="仿宋_GB2312" w:hAnsi="宋体" w:eastAsia="仿宋_GB2312"/>
          <w:b/>
          <w:color w:val="auto"/>
          <w:sz w:val="30"/>
          <w:szCs w:val="30"/>
        </w:rPr>
      </w:pPr>
      <w:r>
        <w:rPr>
          <w:rFonts w:hint="eastAsia" w:ascii="仿宋_GB2312" w:hAnsi="宋体" w:eastAsia="仿宋_GB2312"/>
          <w:b/>
          <w:color w:val="auto"/>
          <w:sz w:val="30"/>
          <w:szCs w:val="30"/>
        </w:rPr>
        <w:t>1.1 评标按照下列程序进行：</w:t>
      </w:r>
    </w:p>
    <w:p>
      <w:pPr>
        <w:spacing w:line="500" w:lineRule="exact"/>
        <w:ind w:firstLine="700" w:firstLineChars="250"/>
        <w:rPr>
          <w:rFonts w:ascii="仿宋_GB2312" w:hAnsi="宋体" w:eastAsia="仿宋_GB2312"/>
          <w:color w:val="auto"/>
          <w:sz w:val="28"/>
          <w:szCs w:val="28"/>
        </w:rPr>
      </w:pPr>
      <w:r>
        <w:rPr>
          <w:rFonts w:hint="eastAsia" w:ascii="仿宋_GB2312" w:hAnsi="宋体" w:eastAsia="仿宋_GB2312"/>
          <w:color w:val="auto"/>
          <w:sz w:val="28"/>
          <w:szCs w:val="28"/>
        </w:rPr>
        <w:t>（1）投标文件符合性审查；</w:t>
      </w:r>
    </w:p>
    <w:p>
      <w:pPr>
        <w:spacing w:line="500" w:lineRule="exact"/>
        <w:ind w:firstLine="700" w:firstLineChars="250"/>
        <w:rPr>
          <w:rFonts w:ascii="仿宋_GB2312" w:hAnsi="宋体" w:eastAsia="仿宋_GB2312"/>
          <w:color w:val="auto"/>
          <w:sz w:val="28"/>
          <w:szCs w:val="28"/>
        </w:rPr>
      </w:pPr>
      <w:r>
        <w:rPr>
          <w:rFonts w:hint="eastAsia" w:ascii="仿宋_GB2312" w:hAnsi="宋体" w:eastAsia="仿宋_GB2312"/>
          <w:color w:val="auto"/>
          <w:sz w:val="28"/>
          <w:szCs w:val="28"/>
        </w:rPr>
        <w:t>（2）投标文件澄清或说明；</w:t>
      </w:r>
    </w:p>
    <w:p>
      <w:pPr>
        <w:spacing w:line="500" w:lineRule="exact"/>
        <w:ind w:firstLine="700" w:firstLineChars="250"/>
        <w:rPr>
          <w:rFonts w:ascii="仿宋_GB2312" w:hAnsi="宋体" w:eastAsia="仿宋_GB2312"/>
          <w:color w:val="auto"/>
          <w:sz w:val="28"/>
          <w:szCs w:val="28"/>
        </w:rPr>
      </w:pPr>
      <w:r>
        <w:rPr>
          <w:rFonts w:hint="eastAsia" w:ascii="仿宋_GB2312" w:hAnsi="宋体" w:eastAsia="仿宋_GB2312"/>
          <w:color w:val="auto"/>
          <w:sz w:val="28"/>
          <w:szCs w:val="28"/>
        </w:rPr>
        <w:t>（3）投标文件比较与评价；</w:t>
      </w:r>
    </w:p>
    <w:p>
      <w:pPr>
        <w:spacing w:line="500" w:lineRule="exact"/>
        <w:ind w:firstLine="700" w:firstLineChars="250"/>
        <w:rPr>
          <w:rFonts w:ascii="仿宋_GB2312" w:hAnsi="宋体" w:eastAsia="仿宋_GB2312"/>
          <w:color w:val="auto"/>
          <w:sz w:val="28"/>
          <w:szCs w:val="28"/>
        </w:rPr>
      </w:pPr>
      <w:r>
        <w:rPr>
          <w:rFonts w:hint="eastAsia" w:ascii="仿宋_GB2312" w:hAnsi="宋体" w:eastAsia="仿宋_GB2312"/>
          <w:color w:val="auto"/>
          <w:sz w:val="28"/>
          <w:szCs w:val="28"/>
        </w:rPr>
        <w:t>（4）复核与核对评标结果；</w:t>
      </w:r>
    </w:p>
    <w:p>
      <w:pPr>
        <w:spacing w:line="500" w:lineRule="exact"/>
        <w:ind w:firstLine="700" w:firstLineChars="250"/>
        <w:rPr>
          <w:rFonts w:ascii="仿宋_GB2312" w:hAnsi="宋体" w:eastAsia="仿宋_GB2312"/>
          <w:color w:val="auto"/>
          <w:sz w:val="28"/>
          <w:szCs w:val="28"/>
        </w:rPr>
      </w:pPr>
      <w:r>
        <w:rPr>
          <w:rFonts w:hint="eastAsia" w:ascii="仿宋_GB2312" w:hAnsi="宋体" w:eastAsia="仿宋_GB2312"/>
          <w:color w:val="auto"/>
          <w:sz w:val="28"/>
          <w:szCs w:val="28"/>
        </w:rPr>
        <w:t>（5）确定中标候选人名单；</w:t>
      </w:r>
    </w:p>
    <w:p>
      <w:pPr>
        <w:spacing w:line="500" w:lineRule="exact"/>
        <w:ind w:firstLine="700" w:firstLineChars="250"/>
        <w:rPr>
          <w:rFonts w:ascii="仿宋_GB2312" w:hAnsi="宋体" w:eastAsia="仿宋_GB2312"/>
          <w:color w:val="auto"/>
          <w:sz w:val="28"/>
          <w:szCs w:val="28"/>
        </w:rPr>
      </w:pPr>
      <w:r>
        <w:rPr>
          <w:rFonts w:hint="eastAsia" w:ascii="仿宋_GB2312" w:hAnsi="宋体" w:eastAsia="仿宋_GB2312"/>
          <w:color w:val="auto"/>
          <w:sz w:val="28"/>
          <w:szCs w:val="28"/>
        </w:rPr>
        <w:t>（6）编写评标报告。</w:t>
      </w:r>
    </w:p>
    <w:p>
      <w:pPr>
        <w:spacing w:beforeLines="30" w:afterLines="30" w:line="360" w:lineRule="auto"/>
        <w:rPr>
          <w:rFonts w:ascii="仿宋_GB2312" w:hAnsi="宋体" w:eastAsia="仿宋_GB2312"/>
          <w:b/>
          <w:color w:val="auto"/>
          <w:sz w:val="30"/>
          <w:szCs w:val="30"/>
        </w:rPr>
      </w:pPr>
      <w:r>
        <w:rPr>
          <w:rFonts w:hint="eastAsia" w:ascii="仿宋_GB2312" w:hAnsi="宋体" w:eastAsia="仿宋_GB2312"/>
          <w:b/>
          <w:color w:val="auto"/>
          <w:sz w:val="30"/>
          <w:szCs w:val="30"/>
        </w:rPr>
        <w:t>1.2 投标文件符合性审查</w:t>
      </w:r>
    </w:p>
    <w:p>
      <w:pPr>
        <w:spacing w:line="500" w:lineRule="exact"/>
        <w:ind w:firstLine="700" w:firstLineChars="250"/>
        <w:rPr>
          <w:rFonts w:ascii="仿宋_GB2312" w:hAnsi="宋体" w:eastAsia="仿宋_GB2312"/>
          <w:color w:val="auto"/>
          <w:sz w:val="28"/>
          <w:szCs w:val="28"/>
        </w:rPr>
      </w:pPr>
      <w:r>
        <w:rPr>
          <w:rFonts w:hint="eastAsia" w:ascii="仿宋_GB2312" w:hAnsi="宋体" w:eastAsia="仿宋_GB2312"/>
          <w:color w:val="auto"/>
          <w:sz w:val="28"/>
          <w:szCs w:val="28"/>
        </w:rPr>
        <w:t>1.2.1 评标委员会依法对符合资格条件的投标人的投标文件进行符合性审查。评标委员会从投标文件的有效性、完整性和对招标文件的响应程度进行审查，以确定其是否对招标文件实质性内容作出响应（采购人可根据具体项目的情况对实质性要求作特别的具体规定）。</w:t>
      </w:r>
    </w:p>
    <w:p>
      <w:pPr>
        <w:spacing w:line="500" w:lineRule="exact"/>
        <w:ind w:firstLine="700" w:firstLineChars="250"/>
        <w:rPr>
          <w:rFonts w:ascii="仿宋_GB2312" w:hAnsi="宋体" w:eastAsia="仿宋_GB2312"/>
          <w:color w:val="auto"/>
          <w:sz w:val="28"/>
          <w:szCs w:val="28"/>
        </w:rPr>
      </w:pPr>
      <w:r>
        <w:rPr>
          <w:rFonts w:hint="eastAsia" w:ascii="仿宋_GB2312" w:hAnsi="宋体" w:eastAsia="仿宋_GB2312"/>
          <w:color w:val="auto"/>
          <w:sz w:val="28"/>
          <w:szCs w:val="28"/>
        </w:rPr>
        <w:t>1.2.2评标委员会按下列评审标准进行符合性审查：</w:t>
      </w:r>
    </w:p>
    <w:tbl>
      <w:tblPr>
        <w:tblStyle w:val="24"/>
        <w:tblW w:w="100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569"/>
        <w:gridCol w:w="3971"/>
        <w:gridCol w:w="4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blHeader/>
        </w:trPr>
        <w:tc>
          <w:tcPr>
            <w:tcW w:w="819" w:type="dxa"/>
            <w:tcBorders>
              <w:top w:val="single" w:color="auto" w:sz="12" w:space="0"/>
              <w:left w:val="single" w:color="auto" w:sz="12" w:space="0"/>
            </w:tcBorders>
            <w:vAlign w:val="center"/>
          </w:tcPr>
          <w:p>
            <w:pPr>
              <w:tabs>
                <w:tab w:val="left" w:pos="0"/>
              </w:tabs>
              <w:adjustRightInd w:val="0"/>
              <w:snapToGrid w:val="0"/>
              <w:spacing w:line="420" w:lineRule="exact"/>
              <w:jc w:val="center"/>
              <w:rPr>
                <w:rFonts w:ascii="仿宋_GB2312" w:hAnsi="宋体" w:eastAsia="仿宋_GB2312"/>
                <w:b/>
                <w:color w:val="auto"/>
                <w:sz w:val="24"/>
              </w:rPr>
            </w:pPr>
            <w:r>
              <w:rPr>
                <w:rFonts w:hint="eastAsia" w:ascii="仿宋_GB2312" w:hAnsi="宋体" w:eastAsia="仿宋_GB2312"/>
                <w:b/>
                <w:color w:val="auto"/>
                <w:sz w:val="24"/>
              </w:rPr>
              <w:t>序号</w:t>
            </w:r>
          </w:p>
        </w:tc>
        <w:tc>
          <w:tcPr>
            <w:tcW w:w="4539" w:type="dxa"/>
            <w:gridSpan w:val="2"/>
            <w:tcBorders>
              <w:top w:val="single" w:color="auto" w:sz="12" w:space="0"/>
            </w:tcBorders>
            <w:vAlign w:val="center"/>
          </w:tcPr>
          <w:p>
            <w:pPr>
              <w:tabs>
                <w:tab w:val="left" w:pos="0"/>
              </w:tabs>
              <w:adjustRightInd w:val="0"/>
              <w:snapToGrid w:val="0"/>
              <w:spacing w:line="420" w:lineRule="exact"/>
              <w:jc w:val="center"/>
              <w:rPr>
                <w:rFonts w:ascii="仿宋_GB2312" w:hAnsi="宋体" w:eastAsia="仿宋_GB2312"/>
                <w:b/>
                <w:color w:val="auto"/>
                <w:sz w:val="24"/>
              </w:rPr>
            </w:pPr>
            <w:r>
              <w:rPr>
                <w:rFonts w:hint="eastAsia" w:ascii="仿宋_GB2312" w:hAnsi="宋体" w:eastAsia="仿宋_GB2312"/>
                <w:b/>
                <w:color w:val="auto"/>
                <w:sz w:val="24"/>
                <w:lang w:val="en-US" w:eastAsia="zh-CN"/>
              </w:rPr>
              <w:t>审查</w:t>
            </w:r>
            <w:r>
              <w:rPr>
                <w:rFonts w:hint="eastAsia" w:ascii="仿宋_GB2312" w:hAnsi="宋体" w:eastAsia="仿宋_GB2312"/>
                <w:b/>
                <w:color w:val="auto"/>
                <w:sz w:val="24"/>
              </w:rPr>
              <w:t>因素</w:t>
            </w:r>
          </w:p>
        </w:tc>
        <w:tc>
          <w:tcPr>
            <w:tcW w:w="4738" w:type="dxa"/>
            <w:tcBorders>
              <w:top w:val="single" w:color="auto" w:sz="12" w:space="0"/>
              <w:right w:val="single" w:color="auto" w:sz="12" w:space="0"/>
            </w:tcBorders>
            <w:vAlign w:val="center"/>
          </w:tcPr>
          <w:p>
            <w:pPr>
              <w:tabs>
                <w:tab w:val="left" w:pos="0"/>
              </w:tabs>
              <w:adjustRightInd w:val="0"/>
              <w:snapToGrid w:val="0"/>
              <w:spacing w:line="420" w:lineRule="exact"/>
              <w:jc w:val="center"/>
              <w:rPr>
                <w:rFonts w:ascii="仿宋_GB2312" w:hAnsi="宋体" w:eastAsia="仿宋_GB2312"/>
                <w:b/>
                <w:color w:val="auto"/>
                <w:sz w:val="24"/>
              </w:rPr>
            </w:pPr>
            <w:r>
              <w:rPr>
                <w:rFonts w:hint="eastAsia" w:ascii="仿宋_GB2312" w:hAnsi="宋体" w:eastAsia="仿宋_GB2312"/>
                <w:b/>
                <w:color w:val="auto"/>
                <w:sz w:val="24"/>
                <w:lang w:val="en-US" w:eastAsia="zh-CN"/>
              </w:rPr>
              <w:t>审查</w:t>
            </w:r>
            <w:r>
              <w:rPr>
                <w:rFonts w:hint="eastAsia" w:ascii="仿宋_GB2312" w:hAnsi="宋体" w:eastAsia="仿宋_GB2312"/>
                <w:b/>
                <w:color w:val="auto"/>
                <w:sz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19" w:type="dxa"/>
            <w:vMerge w:val="restart"/>
            <w:tcBorders>
              <w:left w:val="single" w:color="auto" w:sz="12" w:space="0"/>
            </w:tcBorders>
            <w:vAlign w:val="center"/>
          </w:tcPr>
          <w:p>
            <w:pPr>
              <w:tabs>
                <w:tab w:val="left" w:pos="0"/>
              </w:tabs>
              <w:adjustRightInd w:val="0"/>
              <w:snapToGrid w:val="0"/>
              <w:spacing w:line="420" w:lineRule="exact"/>
              <w:jc w:val="center"/>
              <w:rPr>
                <w:rFonts w:ascii="仿宋_GB2312" w:hAnsi="宋体" w:eastAsia="仿宋_GB2312"/>
                <w:color w:val="auto"/>
                <w:sz w:val="24"/>
              </w:rPr>
            </w:pPr>
            <w:r>
              <w:rPr>
                <w:rFonts w:hint="eastAsia" w:ascii="仿宋_GB2312" w:hAnsi="宋体" w:eastAsia="仿宋_GB2312"/>
                <w:color w:val="auto"/>
                <w:sz w:val="24"/>
              </w:rPr>
              <w:t>1</w:t>
            </w:r>
          </w:p>
        </w:tc>
        <w:tc>
          <w:tcPr>
            <w:tcW w:w="569" w:type="dxa"/>
            <w:vMerge w:val="restart"/>
            <w:vAlign w:val="center"/>
          </w:tcPr>
          <w:p>
            <w:pPr>
              <w:tabs>
                <w:tab w:val="left" w:pos="0"/>
              </w:tabs>
              <w:adjustRightInd w:val="0"/>
              <w:snapToGrid w:val="0"/>
              <w:spacing w:line="420" w:lineRule="exact"/>
              <w:jc w:val="center"/>
              <w:rPr>
                <w:rFonts w:ascii="仿宋_GB2312" w:hAnsi="宋体" w:eastAsia="仿宋_GB2312"/>
                <w:color w:val="auto"/>
                <w:sz w:val="24"/>
              </w:rPr>
            </w:pPr>
            <w:r>
              <w:rPr>
                <w:rFonts w:hint="eastAsia" w:ascii="仿宋_GB2312" w:hAnsi="宋体" w:eastAsia="仿宋_GB2312"/>
                <w:color w:val="auto"/>
                <w:sz w:val="24"/>
              </w:rPr>
              <w:t>有效性审查</w:t>
            </w:r>
          </w:p>
        </w:tc>
        <w:tc>
          <w:tcPr>
            <w:tcW w:w="3971" w:type="dxa"/>
            <w:vAlign w:val="center"/>
          </w:tcPr>
          <w:p>
            <w:pPr>
              <w:tabs>
                <w:tab w:val="left" w:pos="0"/>
              </w:tabs>
              <w:adjustRightInd w:val="0"/>
              <w:snapToGrid w:val="0"/>
              <w:spacing w:line="420" w:lineRule="exact"/>
              <w:rPr>
                <w:rFonts w:ascii="仿宋_GB2312" w:hAnsi="宋体" w:eastAsia="仿宋_GB2312"/>
                <w:color w:val="auto"/>
                <w:sz w:val="24"/>
              </w:rPr>
            </w:pPr>
            <w:r>
              <w:rPr>
                <w:rFonts w:hint="eastAsia" w:ascii="仿宋_GB2312" w:hAnsi="宋体" w:eastAsia="仿宋_GB2312"/>
                <w:color w:val="auto"/>
                <w:sz w:val="24"/>
              </w:rPr>
              <w:t>（1）投标文件的签署盖章</w:t>
            </w:r>
          </w:p>
        </w:tc>
        <w:tc>
          <w:tcPr>
            <w:tcW w:w="4738" w:type="dxa"/>
            <w:tcBorders>
              <w:right w:val="single" w:color="auto" w:sz="12" w:space="0"/>
            </w:tcBorders>
            <w:vAlign w:val="center"/>
          </w:tcPr>
          <w:p>
            <w:pPr>
              <w:tabs>
                <w:tab w:val="left" w:pos="0"/>
              </w:tabs>
              <w:adjustRightInd w:val="0"/>
              <w:snapToGrid w:val="0"/>
              <w:spacing w:line="420" w:lineRule="exact"/>
              <w:rPr>
                <w:rFonts w:ascii="仿宋_GB2312" w:hAnsi="宋体" w:eastAsia="仿宋_GB2312"/>
                <w:color w:val="auto"/>
                <w:sz w:val="24"/>
              </w:rPr>
            </w:pPr>
            <w:r>
              <w:rPr>
                <w:rFonts w:hint="eastAsia" w:ascii="仿宋_GB2312" w:hAnsi="宋体" w:eastAsia="仿宋_GB2312"/>
                <w:color w:val="auto"/>
                <w:sz w:val="24"/>
              </w:rPr>
              <w:t>投标文件要求签字盖章的，应有法定代表人或其授权代表人的签字并加盖公章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19" w:type="dxa"/>
            <w:vMerge w:val="continue"/>
            <w:tcBorders>
              <w:left w:val="single" w:color="auto" w:sz="12" w:space="0"/>
            </w:tcBorders>
          </w:tcPr>
          <w:p>
            <w:pPr>
              <w:tabs>
                <w:tab w:val="left" w:pos="0"/>
              </w:tabs>
              <w:adjustRightInd w:val="0"/>
              <w:snapToGrid w:val="0"/>
              <w:spacing w:line="420" w:lineRule="exact"/>
              <w:rPr>
                <w:rFonts w:ascii="仿宋_GB2312" w:hAnsi="宋体" w:eastAsia="仿宋_GB2312"/>
                <w:color w:val="auto"/>
                <w:sz w:val="24"/>
              </w:rPr>
            </w:pPr>
          </w:p>
        </w:tc>
        <w:tc>
          <w:tcPr>
            <w:tcW w:w="569" w:type="dxa"/>
            <w:vMerge w:val="continue"/>
          </w:tcPr>
          <w:p>
            <w:pPr>
              <w:tabs>
                <w:tab w:val="left" w:pos="0"/>
              </w:tabs>
              <w:adjustRightInd w:val="0"/>
              <w:snapToGrid w:val="0"/>
              <w:spacing w:line="420" w:lineRule="exact"/>
              <w:rPr>
                <w:rFonts w:ascii="仿宋_GB2312" w:hAnsi="宋体" w:eastAsia="仿宋_GB2312"/>
                <w:color w:val="auto"/>
                <w:sz w:val="24"/>
              </w:rPr>
            </w:pPr>
          </w:p>
        </w:tc>
        <w:tc>
          <w:tcPr>
            <w:tcW w:w="3971" w:type="dxa"/>
            <w:vAlign w:val="center"/>
          </w:tcPr>
          <w:p>
            <w:pPr>
              <w:tabs>
                <w:tab w:val="left" w:pos="0"/>
              </w:tabs>
              <w:adjustRightInd w:val="0"/>
              <w:snapToGrid w:val="0"/>
              <w:spacing w:line="420" w:lineRule="exact"/>
              <w:rPr>
                <w:rFonts w:ascii="仿宋_GB2312" w:hAnsi="宋体" w:eastAsia="仿宋_GB2312"/>
                <w:color w:val="auto"/>
                <w:sz w:val="24"/>
              </w:rPr>
            </w:pPr>
            <w:r>
              <w:rPr>
                <w:rFonts w:hint="eastAsia" w:ascii="仿宋_GB2312" w:hAnsi="宋体" w:eastAsia="仿宋_GB2312"/>
                <w:color w:val="auto"/>
                <w:sz w:val="24"/>
              </w:rPr>
              <w:t>（2）报价唯一</w:t>
            </w:r>
          </w:p>
        </w:tc>
        <w:tc>
          <w:tcPr>
            <w:tcW w:w="4738" w:type="dxa"/>
            <w:tcBorders>
              <w:right w:val="single" w:color="auto" w:sz="12" w:space="0"/>
            </w:tcBorders>
            <w:vAlign w:val="center"/>
          </w:tcPr>
          <w:p>
            <w:pPr>
              <w:tabs>
                <w:tab w:val="left" w:pos="0"/>
              </w:tabs>
              <w:adjustRightInd w:val="0"/>
              <w:snapToGrid w:val="0"/>
              <w:spacing w:line="420" w:lineRule="exact"/>
              <w:rPr>
                <w:rFonts w:hint="eastAsia" w:ascii="仿宋_GB2312" w:hAnsi="宋体" w:eastAsia="仿宋_GB2312"/>
                <w:color w:val="auto"/>
                <w:sz w:val="24"/>
                <w:lang w:eastAsia="zh-CN"/>
              </w:rPr>
            </w:pPr>
            <w:r>
              <w:rPr>
                <w:rFonts w:hint="eastAsia" w:ascii="仿宋_GB2312" w:hAnsi="宋体" w:eastAsia="仿宋_GB2312"/>
                <w:color w:val="auto"/>
                <w:sz w:val="24"/>
              </w:rPr>
              <w:t>报价</w:t>
            </w:r>
            <w:r>
              <w:rPr>
                <w:rFonts w:hint="eastAsia" w:ascii="仿宋_GB2312" w:hAnsi="宋体" w:eastAsia="仿宋_GB2312"/>
                <w:color w:val="auto"/>
                <w:sz w:val="24"/>
                <w:lang w:val="en-US" w:eastAsia="zh-CN"/>
              </w:rPr>
              <w:t>必须具有唯一性</w:t>
            </w:r>
            <w:r>
              <w:rPr>
                <w:rFonts w:hint="eastAsia" w:ascii="仿宋_GB2312" w:hAnsi="宋体" w:eastAsia="仿宋_GB2312"/>
                <w:color w:val="auto"/>
                <w:sz w:val="24"/>
              </w:rPr>
              <w:t>，</w:t>
            </w:r>
            <w:r>
              <w:rPr>
                <w:rFonts w:hint="eastAsia" w:ascii="仿宋_GB2312" w:hAnsi="宋体" w:eastAsia="仿宋_GB2312"/>
                <w:color w:val="auto"/>
                <w:sz w:val="24"/>
                <w:lang w:val="en-US" w:eastAsia="zh-CN"/>
              </w:rPr>
              <w:t>一个分项只能有一个报价，</w:t>
            </w:r>
            <w:r>
              <w:rPr>
                <w:rFonts w:hint="eastAsia" w:ascii="仿宋_GB2312" w:hAnsi="宋体" w:eastAsia="仿宋_GB2312"/>
                <w:color w:val="auto"/>
                <w:sz w:val="24"/>
              </w:rPr>
              <w:t>不得提交选择性报价，且</w:t>
            </w:r>
            <w:r>
              <w:rPr>
                <w:rFonts w:hint="eastAsia" w:ascii="仿宋_GB2312" w:hAnsi="宋体" w:eastAsia="仿宋_GB2312"/>
                <w:color w:val="auto"/>
                <w:sz w:val="24"/>
                <w:lang w:val="en-US" w:eastAsia="zh-CN"/>
              </w:rPr>
              <w:t>投标总</w:t>
            </w:r>
            <w:r>
              <w:rPr>
                <w:rFonts w:hint="eastAsia" w:ascii="仿宋_GB2312" w:hAnsi="宋体" w:eastAsia="仿宋_GB2312"/>
                <w:color w:val="auto"/>
                <w:sz w:val="24"/>
              </w:rPr>
              <w:t>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19" w:type="dxa"/>
            <w:vMerge w:val="continue"/>
            <w:tcBorders>
              <w:left w:val="single" w:color="auto" w:sz="12" w:space="0"/>
            </w:tcBorders>
            <w:vAlign w:val="center"/>
          </w:tcPr>
          <w:p>
            <w:pPr>
              <w:tabs>
                <w:tab w:val="left" w:pos="0"/>
              </w:tabs>
              <w:adjustRightInd w:val="0"/>
              <w:snapToGrid w:val="0"/>
              <w:spacing w:line="420" w:lineRule="exact"/>
              <w:jc w:val="center"/>
              <w:rPr>
                <w:rFonts w:ascii="仿宋_GB2312" w:hAnsi="宋体" w:eastAsia="仿宋_GB2312"/>
                <w:color w:val="auto"/>
                <w:sz w:val="24"/>
              </w:rPr>
            </w:pPr>
          </w:p>
        </w:tc>
        <w:tc>
          <w:tcPr>
            <w:tcW w:w="569" w:type="dxa"/>
            <w:vMerge w:val="continue"/>
            <w:vAlign w:val="center"/>
          </w:tcPr>
          <w:p>
            <w:pPr>
              <w:tabs>
                <w:tab w:val="left" w:pos="0"/>
              </w:tabs>
              <w:adjustRightInd w:val="0"/>
              <w:snapToGrid w:val="0"/>
              <w:spacing w:line="420" w:lineRule="exact"/>
              <w:jc w:val="center"/>
              <w:rPr>
                <w:rFonts w:ascii="仿宋_GB2312" w:hAnsi="宋体" w:eastAsia="仿宋_GB2312"/>
                <w:color w:val="auto"/>
                <w:sz w:val="24"/>
              </w:rPr>
            </w:pPr>
          </w:p>
        </w:tc>
        <w:tc>
          <w:tcPr>
            <w:tcW w:w="3971" w:type="dxa"/>
            <w:vAlign w:val="center"/>
          </w:tcPr>
          <w:p>
            <w:pPr>
              <w:tabs>
                <w:tab w:val="left" w:pos="0"/>
              </w:tabs>
              <w:adjustRightInd w:val="0"/>
              <w:snapToGrid w:val="0"/>
              <w:spacing w:line="420" w:lineRule="exact"/>
              <w:rPr>
                <w:rFonts w:ascii="仿宋_GB2312" w:hAnsi="宋体" w:eastAsia="仿宋_GB2312"/>
                <w:color w:val="auto"/>
                <w:sz w:val="24"/>
              </w:rPr>
            </w:pPr>
            <w:r>
              <w:rPr>
                <w:rFonts w:hint="eastAsia" w:ascii="仿宋_GB2312" w:hAnsi="宋体" w:eastAsia="仿宋_GB2312"/>
                <w:color w:val="auto"/>
                <w:sz w:val="24"/>
              </w:rPr>
              <w:t>（3）电子版投标文件（光盘、U盘）</w:t>
            </w:r>
          </w:p>
        </w:tc>
        <w:tc>
          <w:tcPr>
            <w:tcW w:w="4738" w:type="dxa"/>
            <w:tcBorders>
              <w:right w:val="single" w:color="auto" w:sz="12" w:space="0"/>
            </w:tcBorders>
            <w:vAlign w:val="center"/>
          </w:tcPr>
          <w:p>
            <w:pPr>
              <w:tabs>
                <w:tab w:val="left" w:pos="0"/>
              </w:tabs>
              <w:adjustRightInd w:val="0"/>
              <w:snapToGrid w:val="0"/>
              <w:spacing w:line="420" w:lineRule="exact"/>
              <w:rPr>
                <w:rFonts w:ascii="仿宋_GB2312" w:hAnsi="宋体" w:eastAsia="仿宋_GB2312"/>
                <w:color w:val="auto"/>
                <w:sz w:val="24"/>
              </w:rPr>
            </w:pPr>
            <w:r>
              <w:rPr>
                <w:rFonts w:hint="eastAsia" w:ascii="仿宋_GB2312" w:hAnsi="宋体" w:eastAsia="仿宋_GB2312"/>
                <w:color w:val="auto"/>
                <w:sz w:val="24"/>
              </w:rPr>
              <w:t>应符合招标文件规定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19" w:type="dxa"/>
            <w:vMerge w:val="restart"/>
            <w:tcBorders>
              <w:left w:val="single" w:color="auto" w:sz="12" w:space="0"/>
            </w:tcBorders>
            <w:vAlign w:val="center"/>
          </w:tcPr>
          <w:p>
            <w:pPr>
              <w:tabs>
                <w:tab w:val="left" w:pos="0"/>
              </w:tabs>
              <w:adjustRightInd w:val="0"/>
              <w:snapToGrid w:val="0"/>
              <w:spacing w:line="420" w:lineRule="exact"/>
              <w:jc w:val="center"/>
              <w:rPr>
                <w:rFonts w:ascii="仿宋_GB2312" w:hAnsi="宋体" w:eastAsia="仿宋_GB2312"/>
                <w:color w:val="auto"/>
                <w:sz w:val="24"/>
              </w:rPr>
            </w:pPr>
            <w:r>
              <w:rPr>
                <w:rFonts w:hint="eastAsia" w:ascii="仿宋_GB2312" w:hAnsi="宋体" w:eastAsia="仿宋_GB2312"/>
                <w:color w:val="auto"/>
                <w:sz w:val="24"/>
              </w:rPr>
              <w:t>2</w:t>
            </w:r>
          </w:p>
        </w:tc>
        <w:tc>
          <w:tcPr>
            <w:tcW w:w="569" w:type="dxa"/>
            <w:vMerge w:val="restart"/>
            <w:vAlign w:val="center"/>
          </w:tcPr>
          <w:p>
            <w:pPr>
              <w:tabs>
                <w:tab w:val="left" w:pos="0"/>
              </w:tabs>
              <w:adjustRightInd w:val="0"/>
              <w:snapToGrid w:val="0"/>
              <w:spacing w:line="420" w:lineRule="exact"/>
              <w:jc w:val="center"/>
              <w:rPr>
                <w:rFonts w:ascii="仿宋_GB2312" w:hAnsi="宋体" w:eastAsia="仿宋_GB2312"/>
                <w:color w:val="auto"/>
                <w:sz w:val="24"/>
              </w:rPr>
            </w:pPr>
            <w:r>
              <w:rPr>
                <w:rFonts w:hint="eastAsia" w:ascii="仿宋_GB2312" w:hAnsi="宋体" w:eastAsia="仿宋_GB2312"/>
                <w:color w:val="auto"/>
                <w:sz w:val="24"/>
              </w:rPr>
              <w:t>完整性审查</w:t>
            </w:r>
          </w:p>
        </w:tc>
        <w:tc>
          <w:tcPr>
            <w:tcW w:w="3971" w:type="dxa"/>
            <w:vAlign w:val="center"/>
          </w:tcPr>
          <w:p>
            <w:pPr>
              <w:tabs>
                <w:tab w:val="left" w:pos="0"/>
              </w:tabs>
              <w:adjustRightInd w:val="0"/>
              <w:snapToGrid w:val="0"/>
              <w:spacing w:line="420" w:lineRule="exact"/>
              <w:rPr>
                <w:rFonts w:ascii="仿宋_GB2312" w:hAnsi="宋体" w:eastAsia="仿宋_GB2312"/>
                <w:color w:val="auto"/>
                <w:sz w:val="24"/>
              </w:rPr>
            </w:pPr>
            <w:r>
              <w:rPr>
                <w:rFonts w:hint="eastAsia" w:ascii="仿宋_GB2312" w:hAnsi="宋体" w:eastAsia="仿宋_GB2312"/>
                <w:color w:val="auto"/>
                <w:sz w:val="24"/>
              </w:rPr>
              <w:t>（4）投标文件份数</w:t>
            </w:r>
          </w:p>
        </w:tc>
        <w:tc>
          <w:tcPr>
            <w:tcW w:w="4738" w:type="dxa"/>
            <w:tcBorders>
              <w:right w:val="single" w:color="auto" w:sz="12" w:space="0"/>
            </w:tcBorders>
            <w:vAlign w:val="center"/>
          </w:tcPr>
          <w:p>
            <w:pPr>
              <w:tabs>
                <w:tab w:val="left" w:pos="0"/>
              </w:tabs>
              <w:adjustRightInd w:val="0"/>
              <w:snapToGrid w:val="0"/>
              <w:spacing w:line="420" w:lineRule="exact"/>
              <w:rPr>
                <w:rFonts w:ascii="仿宋_GB2312" w:hAnsi="宋体" w:eastAsia="仿宋_GB2312"/>
                <w:color w:val="auto"/>
                <w:sz w:val="24"/>
              </w:rPr>
            </w:pPr>
            <w:r>
              <w:rPr>
                <w:rFonts w:hint="eastAsia" w:ascii="仿宋_GB2312" w:hAnsi="宋体" w:eastAsia="仿宋_GB2312"/>
                <w:color w:val="auto"/>
                <w:sz w:val="24"/>
              </w:rPr>
              <w:t>应符合“投标人须知前附表”规定的纸质版投标文件正本、副本、电子版投标文件光盘、U盘数量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19" w:type="dxa"/>
            <w:vMerge w:val="continue"/>
            <w:tcBorders>
              <w:left w:val="single" w:color="auto" w:sz="12" w:space="0"/>
            </w:tcBorders>
          </w:tcPr>
          <w:p>
            <w:pPr>
              <w:tabs>
                <w:tab w:val="left" w:pos="0"/>
              </w:tabs>
              <w:adjustRightInd w:val="0"/>
              <w:snapToGrid w:val="0"/>
              <w:spacing w:line="420" w:lineRule="exact"/>
              <w:rPr>
                <w:rFonts w:ascii="仿宋_GB2312" w:hAnsi="宋体" w:eastAsia="仿宋_GB2312"/>
                <w:color w:val="auto"/>
                <w:sz w:val="24"/>
              </w:rPr>
            </w:pPr>
          </w:p>
        </w:tc>
        <w:tc>
          <w:tcPr>
            <w:tcW w:w="569" w:type="dxa"/>
            <w:vMerge w:val="continue"/>
          </w:tcPr>
          <w:p>
            <w:pPr>
              <w:tabs>
                <w:tab w:val="left" w:pos="0"/>
              </w:tabs>
              <w:adjustRightInd w:val="0"/>
              <w:snapToGrid w:val="0"/>
              <w:spacing w:line="420" w:lineRule="exact"/>
              <w:rPr>
                <w:rFonts w:ascii="仿宋_GB2312" w:hAnsi="宋体" w:eastAsia="仿宋_GB2312"/>
                <w:color w:val="auto"/>
                <w:sz w:val="24"/>
              </w:rPr>
            </w:pPr>
          </w:p>
        </w:tc>
        <w:tc>
          <w:tcPr>
            <w:tcW w:w="3971" w:type="dxa"/>
            <w:vAlign w:val="center"/>
          </w:tcPr>
          <w:p>
            <w:pPr>
              <w:tabs>
                <w:tab w:val="left" w:pos="0"/>
              </w:tabs>
              <w:adjustRightInd w:val="0"/>
              <w:snapToGrid w:val="0"/>
              <w:spacing w:line="420" w:lineRule="exact"/>
              <w:rPr>
                <w:rFonts w:ascii="仿宋_GB2312" w:hAnsi="宋体" w:eastAsia="仿宋_GB2312"/>
                <w:color w:val="auto"/>
                <w:sz w:val="24"/>
              </w:rPr>
            </w:pPr>
            <w:r>
              <w:rPr>
                <w:rFonts w:hint="eastAsia" w:ascii="仿宋_GB2312" w:hAnsi="宋体" w:eastAsia="仿宋_GB2312"/>
                <w:color w:val="auto"/>
                <w:sz w:val="24"/>
              </w:rPr>
              <w:t>（5）投标文件内容</w:t>
            </w:r>
          </w:p>
        </w:tc>
        <w:tc>
          <w:tcPr>
            <w:tcW w:w="4738" w:type="dxa"/>
            <w:tcBorders>
              <w:right w:val="single" w:color="auto" w:sz="12" w:space="0"/>
            </w:tcBorders>
            <w:vAlign w:val="center"/>
          </w:tcPr>
          <w:p>
            <w:pPr>
              <w:tabs>
                <w:tab w:val="left" w:pos="0"/>
              </w:tabs>
              <w:adjustRightInd w:val="0"/>
              <w:snapToGrid w:val="0"/>
              <w:spacing w:line="420" w:lineRule="exact"/>
              <w:rPr>
                <w:rFonts w:ascii="仿宋_GB2312" w:hAnsi="宋体" w:eastAsia="仿宋_GB2312"/>
                <w:color w:val="auto"/>
                <w:sz w:val="24"/>
              </w:rPr>
            </w:pPr>
            <w:r>
              <w:rPr>
                <w:rFonts w:hint="eastAsia" w:ascii="仿宋_GB2312" w:hAnsi="宋体" w:eastAsia="仿宋_GB2312"/>
                <w:color w:val="auto"/>
                <w:sz w:val="24"/>
              </w:rPr>
              <w:t>投标文件内容齐全、无遗漏，符合招标文件要求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819" w:type="dxa"/>
            <w:vMerge w:val="restart"/>
            <w:tcBorders>
              <w:left w:val="single" w:color="auto" w:sz="12" w:space="0"/>
            </w:tcBorders>
            <w:vAlign w:val="center"/>
          </w:tcPr>
          <w:p>
            <w:pPr>
              <w:tabs>
                <w:tab w:val="left" w:pos="0"/>
              </w:tabs>
              <w:adjustRightInd w:val="0"/>
              <w:snapToGrid w:val="0"/>
              <w:spacing w:line="420" w:lineRule="exact"/>
              <w:jc w:val="center"/>
              <w:rPr>
                <w:rFonts w:ascii="仿宋_GB2312" w:hAnsi="宋体" w:eastAsia="仿宋_GB2312"/>
                <w:color w:val="auto"/>
                <w:sz w:val="24"/>
              </w:rPr>
            </w:pPr>
            <w:r>
              <w:rPr>
                <w:rFonts w:hint="eastAsia" w:ascii="仿宋_GB2312" w:hAnsi="宋体" w:eastAsia="仿宋_GB2312"/>
                <w:color w:val="auto"/>
                <w:sz w:val="24"/>
              </w:rPr>
              <w:t>3</w:t>
            </w:r>
          </w:p>
        </w:tc>
        <w:tc>
          <w:tcPr>
            <w:tcW w:w="569" w:type="dxa"/>
            <w:vMerge w:val="restart"/>
            <w:vAlign w:val="center"/>
          </w:tcPr>
          <w:p>
            <w:pPr>
              <w:tabs>
                <w:tab w:val="left" w:pos="0"/>
              </w:tabs>
              <w:adjustRightInd w:val="0"/>
              <w:snapToGrid w:val="0"/>
              <w:spacing w:line="420" w:lineRule="exact"/>
              <w:jc w:val="center"/>
              <w:rPr>
                <w:rFonts w:ascii="仿宋_GB2312" w:hAnsi="宋体" w:eastAsia="仿宋_GB2312"/>
                <w:color w:val="auto"/>
                <w:sz w:val="24"/>
              </w:rPr>
            </w:pPr>
            <w:r>
              <w:rPr>
                <w:rFonts w:hint="eastAsia" w:ascii="仿宋_GB2312" w:hAnsi="宋体" w:eastAsia="仿宋_GB2312"/>
                <w:color w:val="auto"/>
                <w:sz w:val="24"/>
              </w:rPr>
              <w:t>响应性审查</w:t>
            </w:r>
          </w:p>
        </w:tc>
        <w:tc>
          <w:tcPr>
            <w:tcW w:w="3971" w:type="dxa"/>
            <w:vAlign w:val="center"/>
          </w:tcPr>
          <w:p>
            <w:pPr>
              <w:tabs>
                <w:tab w:val="left" w:pos="0"/>
              </w:tabs>
              <w:adjustRightInd w:val="0"/>
              <w:snapToGrid w:val="0"/>
              <w:spacing w:line="420" w:lineRule="exact"/>
              <w:rPr>
                <w:rFonts w:ascii="仿宋_GB2312" w:hAnsi="宋体" w:eastAsia="仿宋_GB2312"/>
                <w:color w:val="auto"/>
                <w:sz w:val="24"/>
              </w:rPr>
            </w:pPr>
            <w:r>
              <w:rPr>
                <w:rFonts w:hint="eastAsia" w:ascii="仿宋_GB2312" w:hAnsi="宋体" w:eastAsia="仿宋_GB2312"/>
                <w:color w:val="auto"/>
                <w:sz w:val="24"/>
              </w:rPr>
              <w:t>（6）对招标文件响应程度</w:t>
            </w:r>
          </w:p>
        </w:tc>
        <w:tc>
          <w:tcPr>
            <w:tcW w:w="4738" w:type="dxa"/>
            <w:tcBorders>
              <w:right w:val="single" w:color="auto" w:sz="12" w:space="0"/>
            </w:tcBorders>
            <w:vAlign w:val="center"/>
          </w:tcPr>
          <w:p>
            <w:pPr>
              <w:tabs>
                <w:tab w:val="left" w:pos="0"/>
              </w:tabs>
              <w:adjustRightInd w:val="0"/>
              <w:snapToGrid w:val="0"/>
              <w:spacing w:line="420" w:lineRule="exact"/>
              <w:rPr>
                <w:rFonts w:ascii="仿宋_GB2312" w:hAnsi="宋体" w:eastAsia="仿宋_GB2312"/>
                <w:color w:val="auto"/>
                <w:sz w:val="24"/>
              </w:rPr>
            </w:pPr>
            <w:r>
              <w:rPr>
                <w:rFonts w:hint="eastAsia" w:ascii="仿宋_GB2312" w:hAnsi="宋体" w:eastAsia="仿宋_GB2312"/>
                <w:color w:val="auto"/>
                <w:sz w:val="24"/>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19" w:type="dxa"/>
            <w:vMerge w:val="continue"/>
            <w:tcBorders>
              <w:left w:val="single" w:color="auto" w:sz="12" w:space="0"/>
            </w:tcBorders>
          </w:tcPr>
          <w:p>
            <w:pPr>
              <w:tabs>
                <w:tab w:val="left" w:pos="0"/>
              </w:tabs>
              <w:adjustRightInd w:val="0"/>
              <w:snapToGrid w:val="0"/>
              <w:spacing w:line="420" w:lineRule="exact"/>
              <w:rPr>
                <w:rFonts w:ascii="仿宋_GB2312" w:hAnsi="宋体" w:eastAsia="仿宋_GB2312"/>
                <w:color w:val="auto"/>
                <w:sz w:val="24"/>
              </w:rPr>
            </w:pPr>
          </w:p>
        </w:tc>
        <w:tc>
          <w:tcPr>
            <w:tcW w:w="569" w:type="dxa"/>
            <w:vMerge w:val="continue"/>
          </w:tcPr>
          <w:p>
            <w:pPr>
              <w:tabs>
                <w:tab w:val="left" w:pos="0"/>
              </w:tabs>
              <w:adjustRightInd w:val="0"/>
              <w:snapToGrid w:val="0"/>
              <w:spacing w:line="420" w:lineRule="exact"/>
              <w:rPr>
                <w:rFonts w:ascii="仿宋_GB2312" w:hAnsi="宋体" w:eastAsia="仿宋_GB2312"/>
                <w:color w:val="auto"/>
                <w:sz w:val="24"/>
              </w:rPr>
            </w:pPr>
          </w:p>
        </w:tc>
        <w:tc>
          <w:tcPr>
            <w:tcW w:w="3971" w:type="dxa"/>
            <w:vAlign w:val="center"/>
          </w:tcPr>
          <w:p>
            <w:pPr>
              <w:tabs>
                <w:tab w:val="left" w:pos="0"/>
              </w:tabs>
              <w:adjustRightInd w:val="0"/>
              <w:snapToGrid w:val="0"/>
              <w:spacing w:line="420" w:lineRule="exact"/>
              <w:rPr>
                <w:rFonts w:ascii="仿宋_GB2312" w:hAnsi="宋体" w:eastAsia="仿宋_GB2312"/>
                <w:color w:val="auto"/>
                <w:sz w:val="24"/>
              </w:rPr>
            </w:pPr>
            <w:r>
              <w:rPr>
                <w:rFonts w:hint="eastAsia" w:ascii="仿宋_GB2312" w:hAnsi="宋体" w:eastAsia="仿宋_GB2312"/>
                <w:color w:val="auto"/>
                <w:sz w:val="24"/>
              </w:rPr>
              <w:t>（7）拟供产品配置与技术参数</w:t>
            </w:r>
          </w:p>
        </w:tc>
        <w:tc>
          <w:tcPr>
            <w:tcW w:w="4738" w:type="dxa"/>
            <w:tcBorders>
              <w:right w:val="single" w:color="auto" w:sz="12" w:space="0"/>
            </w:tcBorders>
            <w:vAlign w:val="center"/>
          </w:tcPr>
          <w:p>
            <w:pPr>
              <w:tabs>
                <w:tab w:val="left" w:pos="0"/>
              </w:tabs>
              <w:adjustRightInd w:val="0"/>
              <w:snapToGrid w:val="0"/>
              <w:spacing w:line="420" w:lineRule="exact"/>
              <w:rPr>
                <w:rFonts w:hint="default" w:ascii="仿宋_GB2312" w:hAnsi="宋体" w:eastAsia="仿宋_GB2312"/>
                <w:color w:val="auto"/>
                <w:sz w:val="24"/>
                <w:lang w:val="en-US" w:eastAsia="zh-CN"/>
              </w:rPr>
            </w:pPr>
            <w:r>
              <w:rPr>
                <w:rFonts w:hint="eastAsia" w:ascii="仿宋_GB2312" w:hAnsi="宋体" w:eastAsia="仿宋_GB2312"/>
                <w:color w:val="auto"/>
                <w:sz w:val="24"/>
              </w:rPr>
              <w:t>应满足招标文件提出的实质性</w:t>
            </w:r>
            <w:r>
              <w:rPr>
                <w:rFonts w:hint="eastAsia" w:ascii="仿宋_GB2312" w:hAnsi="宋体" w:eastAsia="仿宋_GB2312"/>
                <w:color w:val="auto"/>
                <w:sz w:val="24"/>
                <w:lang w:val="en-US" w:eastAsia="zh-CN"/>
              </w:rPr>
              <w:t>条款（加注</w:t>
            </w:r>
            <w:r>
              <w:rPr>
                <w:rFonts w:hint="eastAsia" w:ascii="微软雅黑" w:hAnsi="微软雅黑" w:eastAsia="微软雅黑" w:cs="微软雅黑"/>
                <w:color w:val="auto"/>
                <w:sz w:val="24"/>
                <w:lang w:val="en-US" w:eastAsia="zh-CN"/>
              </w:rPr>
              <w:t>★</w:t>
            </w:r>
            <w:r>
              <w:rPr>
                <w:rFonts w:hint="eastAsia" w:ascii="仿宋_GB2312" w:hAnsi="仿宋_GB2312" w:eastAsia="仿宋_GB2312" w:cs="仿宋_GB2312"/>
                <w:color w:val="auto"/>
                <w:sz w:val="24"/>
                <w:lang w:val="en-US" w:eastAsia="zh-CN"/>
              </w:rPr>
              <w:t>条款</w:t>
            </w:r>
            <w:r>
              <w:rPr>
                <w:rFonts w:hint="eastAsia" w:ascii="仿宋_GB2312" w:hAnsi="宋体" w:eastAsia="仿宋_GB2312"/>
                <w:color w:val="auto"/>
                <w:sz w:val="24"/>
                <w:lang w:val="en-US" w:eastAsia="zh-CN"/>
              </w:rPr>
              <w:t>）要求</w:t>
            </w:r>
            <w:r>
              <w:rPr>
                <w:rFonts w:hint="eastAsia" w:ascii="仿宋_GB2312" w:hAnsi="宋体" w:eastAsia="仿宋_GB2312"/>
                <w:color w:val="auto"/>
                <w:sz w:val="24"/>
              </w:rPr>
              <w:t>要求</w:t>
            </w:r>
            <w:r>
              <w:rPr>
                <w:rFonts w:hint="eastAsia" w:ascii="仿宋_GB2312" w:hAnsi="宋体" w:eastAsia="仿宋_GB2312"/>
                <w:color w:val="auto"/>
                <w:sz w:val="24"/>
                <w:lang w:eastAsia="zh-CN"/>
              </w:rPr>
              <w:t>，</w:t>
            </w:r>
            <w:r>
              <w:rPr>
                <w:rFonts w:hint="eastAsia" w:ascii="仿宋_GB2312" w:hAnsi="宋体" w:eastAsia="仿宋_GB2312"/>
                <w:color w:val="auto"/>
                <w:sz w:val="24"/>
                <w:lang w:val="en-US" w:eastAsia="zh-CN"/>
              </w:rPr>
              <w:t>非实质性条款存在偏离情形的项数不超过招标文件“投标人须知前附表”规定项数。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9" w:type="dxa"/>
            <w:vMerge w:val="continue"/>
            <w:tcBorders>
              <w:left w:val="single" w:color="auto" w:sz="12" w:space="0"/>
            </w:tcBorders>
          </w:tcPr>
          <w:p>
            <w:pPr>
              <w:tabs>
                <w:tab w:val="left" w:pos="0"/>
              </w:tabs>
              <w:adjustRightInd w:val="0"/>
              <w:snapToGrid w:val="0"/>
              <w:spacing w:line="420" w:lineRule="exact"/>
              <w:rPr>
                <w:rFonts w:ascii="仿宋_GB2312" w:hAnsi="宋体" w:eastAsia="仿宋_GB2312"/>
                <w:color w:val="auto"/>
                <w:sz w:val="24"/>
              </w:rPr>
            </w:pPr>
          </w:p>
        </w:tc>
        <w:tc>
          <w:tcPr>
            <w:tcW w:w="569" w:type="dxa"/>
            <w:vMerge w:val="continue"/>
          </w:tcPr>
          <w:p>
            <w:pPr>
              <w:tabs>
                <w:tab w:val="left" w:pos="0"/>
              </w:tabs>
              <w:adjustRightInd w:val="0"/>
              <w:snapToGrid w:val="0"/>
              <w:spacing w:line="420" w:lineRule="exact"/>
              <w:rPr>
                <w:rFonts w:ascii="仿宋_GB2312" w:hAnsi="宋体" w:eastAsia="仿宋_GB2312"/>
                <w:color w:val="auto"/>
                <w:sz w:val="24"/>
              </w:rPr>
            </w:pPr>
          </w:p>
        </w:tc>
        <w:tc>
          <w:tcPr>
            <w:tcW w:w="3971" w:type="dxa"/>
            <w:vAlign w:val="center"/>
          </w:tcPr>
          <w:p>
            <w:pPr>
              <w:tabs>
                <w:tab w:val="left" w:pos="0"/>
              </w:tabs>
              <w:adjustRightInd w:val="0"/>
              <w:snapToGrid w:val="0"/>
              <w:spacing w:line="420" w:lineRule="exact"/>
              <w:rPr>
                <w:rFonts w:ascii="仿宋_GB2312" w:hAnsi="宋体" w:eastAsia="仿宋_GB2312"/>
                <w:color w:val="auto"/>
                <w:sz w:val="24"/>
              </w:rPr>
            </w:pPr>
            <w:r>
              <w:rPr>
                <w:rFonts w:hint="eastAsia" w:ascii="仿宋_GB2312" w:hAnsi="宋体" w:eastAsia="仿宋_GB2312"/>
                <w:color w:val="auto"/>
                <w:sz w:val="24"/>
              </w:rPr>
              <w:t>（8）交货期</w:t>
            </w:r>
          </w:p>
        </w:tc>
        <w:tc>
          <w:tcPr>
            <w:tcW w:w="4738" w:type="dxa"/>
            <w:tcBorders>
              <w:right w:val="single" w:color="auto" w:sz="12" w:space="0"/>
            </w:tcBorders>
            <w:vAlign w:val="center"/>
          </w:tcPr>
          <w:p>
            <w:pPr>
              <w:tabs>
                <w:tab w:val="left" w:pos="0"/>
              </w:tabs>
              <w:adjustRightInd w:val="0"/>
              <w:snapToGrid w:val="0"/>
              <w:spacing w:line="420" w:lineRule="exact"/>
              <w:rPr>
                <w:rFonts w:ascii="仿宋_GB2312" w:hAnsi="宋体" w:eastAsia="仿宋_GB2312"/>
                <w:color w:val="auto"/>
                <w:sz w:val="24"/>
              </w:rPr>
            </w:pPr>
            <w:r>
              <w:rPr>
                <w:rFonts w:hint="eastAsia" w:ascii="仿宋_GB2312" w:hAnsi="宋体" w:eastAsia="仿宋_GB2312"/>
                <w:color w:val="auto"/>
                <w:sz w:val="24"/>
              </w:rPr>
              <w:t>应满足招标文件中要求的交货期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19" w:type="dxa"/>
            <w:vMerge w:val="continue"/>
            <w:tcBorders>
              <w:left w:val="single" w:color="auto" w:sz="12" w:space="0"/>
            </w:tcBorders>
          </w:tcPr>
          <w:p>
            <w:pPr>
              <w:tabs>
                <w:tab w:val="left" w:pos="0"/>
              </w:tabs>
              <w:adjustRightInd w:val="0"/>
              <w:snapToGrid w:val="0"/>
              <w:spacing w:line="420" w:lineRule="exact"/>
              <w:rPr>
                <w:rFonts w:ascii="仿宋_GB2312" w:hAnsi="宋体" w:eastAsia="仿宋_GB2312"/>
                <w:color w:val="auto"/>
                <w:sz w:val="24"/>
              </w:rPr>
            </w:pPr>
          </w:p>
        </w:tc>
        <w:tc>
          <w:tcPr>
            <w:tcW w:w="569" w:type="dxa"/>
            <w:vMerge w:val="continue"/>
          </w:tcPr>
          <w:p>
            <w:pPr>
              <w:tabs>
                <w:tab w:val="left" w:pos="0"/>
              </w:tabs>
              <w:adjustRightInd w:val="0"/>
              <w:snapToGrid w:val="0"/>
              <w:spacing w:line="420" w:lineRule="exact"/>
              <w:rPr>
                <w:rFonts w:ascii="仿宋_GB2312" w:hAnsi="宋体" w:eastAsia="仿宋_GB2312"/>
                <w:color w:val="auto"/>
                <w:sz w:val="24"/>
              </w:rPr>
            </w:pPr>
          </w:p>
        </w:tc>
        <w:tc>
          <w:tcPr>
            <w:tcW w:w="3971" w:type="dxa"/>
            <w:vAlign w:val="center"/>
          </w:tcPr>
          <w:p>
            <w:pPr>
              <w:tabs>
                <w:tab w:val="left" w:pos="0"/>
              </w:tabs>
              <w:adjustRightInd w:val="0"/>
              <w:snapToGrid w:val="0"/>
              <w:spacing w:line="420" w:lineRule="exact"/>
              <w:rPr>
                <w:rFonts w:ascii="仿宋_GB2312" w:hAnsi="宋体" w:eastAsia="仿宋_GB2312"/>
                <w:color w:val="auto"/>
                <w:sz w:val="24"/>
              </w:rPr>
            </w:pPr>
            <w:r>
              <w:rPr>
                <w:rFonts w:hint="eastAsia" w:ascii="仿宋_GB2312" w:hAnsi="宋体" w:eastAsia="仿宋_GB2312"/>
                <w:color w:val="auto"/>
                <w:sz w:val="24"/>
              </w:rPr>
              <w:t>（9）交货地点</w:t>
            </w:r>
          </w:p>
        </w:tc>
        <w:tc>
          <w:tcPr>
            <w:tcW w:w="4738" w:type="dxa"/>
            <w:tcBorders>
              <w:right w:val="single" w:color="auto" w:sz="12" w:space="0"/>
            </w:tcBorders>
            <w:vAlign w:val="center"/>
          </w:tcPr>
          <w:p>
            <w:pPr>
              <w:tabs>
                <w:tab w:val="left" w:pos="0"/>
              </w:tabs>
              <w:adjustRightInd w:val="0"/>
              <w:snapToGrid w:val="0"/>
              <w:spacing w:line="420" w:lineRule="exact"/>
              <w:rPr>
                <w:rFonts w:ascii="仿宋_GB2312" w:hAnsi="宋体" w:eastAsia="仿宋_GB2312"/>
                <w:color w:val="auto"/>
                <w:sz w:val="24"/>
              </w:rPr>
            </w:pPr>
            <w:r>
              <w:rPr>
                <w:rFonts w:hint="eastAsia" w:ascii="仿宋_GB2312" w:hAnsi="宋体" w:eastAsia="仿宋_GB2312"/>
                <w:color w:val="auto"/>
                <w:sz w:val="24"/>
              </w:rPr>
              <w:t>应满足招标文件中要求的交货地点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19" w:type="dxa"/>
            <w:vMerge w:val="continue"/>
            <w:tcBorders>
              <w:left w:val="single" w:color="auto" w:sz="12" w:space="0"/>
            </w:tcBorders>
          </w:tcPr>
          <w:p>
            <w:pPr>
              <w:tabs>
                <w:tab w:val="left" w:pos="0"/>
              </w:tabs>
              <w:adjustRightInd w:val="0"/>
              <w:snapToGrid w:val="0"/>
              <w:spacing w:line="420" w:lineRule="exact"/>
              <w:rPr>
                <w:rFonts w:ascii="仿宋_GB2312" w:hAnsi="宋体" w:eastAsia="仿宋_GB2312"/>
                <w:color w:val="auto"/>
                <w:sz w:val="24"/>
              </w:rPr>
            </w:pPr>
          </w:p>
        </w:tc>
        <w:tc>
          <w:tcPr>
            <w:tcW w:w="569" w:type="dxa"/>
            <w:vMerge w:val="continue"/>
          </w:tcPr>
          <w:p>
            <w:pPr>
              <w:tabs>
                <w:tab w:val="left" w:pos="0"/>
              </w:tabs>
              <w:adjustRightInd w:val="0"/>
              <w:snapToGrid w:val="0"/>
              <w:spacing w:line="420" w:lineRule="exact"/>
              <w:rPr>
                <w:rFonts w:ascii="仿宋_GB2312" w:hAnsi="宋体" w:eastAsia="仿宋_GB2312"/>
                <w:color w:val="auto"/>
                <w:sz w:val="24"/>
              </w:rPr>
            </w:pPr>
          </w:p>
        </w:tc>
        <w:tc>
          <w:tcPr>
            <w:tcW w:w="3971" w:type="dxa"/>
            <w:vAlign w:val="center"/>
          </w:tcPr>
          <w:p>
            <w:pPr>
              <w:tabs>
                <w:tab w:val="left" w:pos="0"/>
              </w:tabs>
              <w:adjustRightInd w:val="0"/>
              <w:snapToGrid w:val="0"/>
              <w:spacing w:line="420" w:lineRule="exact"/>
              <w:rPr>
                <w:rFonts w:ascii="仿宋_GB2312" w:hAnsi="宋体" w:eastAsia="仿宋_GB2312"/>
                <w:color w:val="auto"/>
                <w:sz w:val="24"/>
              </w:rPr>
            </w:pPr>
            <w:r>
              <w:rPr>
                <w:rFonts w:hint="eastAsia" w:ascii="仿宋_GB2312" w:hAnsi="宋体" w:eastAsia="仿宋_GB2312"/>
                <w:color w:val="auto"/>
                <w:sz w:val="24"/>
              </w:rPr>
              <w:t>（10）质保期</w:t>
            </w:r>
          </w:p>
        </w:tc>
        <w:tc>
          <w:tcPr>
            <w:tcW w:w="4738" w:type="dxa"/>
            <w:tcBorders>
              <w:right w:val="single" w:color="auto" w:sz="12" w:space="0"/>
            </w:tcBorders>
            <w:vAlign w:val="center"/>
          </w:tcPr>
          <w:p>
            <w:pPr>
              <w:tabs>
                <w:tab w:val="left" w:pos="0"/>
              </w:tabs>
              <w:adjustRightInd w:val="0"/>
              <w:snapToGrid w:val="0"/>
              <w:spacing w:line="420" w:lineRule="exact"/>
              <w:rPr>
                <w:rFonts w:ascii="仿宋_GB2312" w:hAnsi="宋体" w:eastAsia="仿宋_GB2312"/>
                <w:color w:val="auto"/>
                <w:sz w:val="24"/>
              </w:rPr>
            </w:pPr>
            <w:r>
              <w:rPr>
                <w:rFonts w:hint="eastAsia" w:ascii="仿宋_GB2312" w:hAnsi="宋体" w:eastAsia="仿宋_GB2312"/>
                <w:color w:val="auto"/>
                <w:sz w:val="24"/>
              </w:rPr>
              <w:t>应满足招标文件要求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19" w:type="dxa"/>
            <w:vMerge w:val="continue"/>
            <w:tcBorders>
              <w:left w:val="single" w:color="auto" w:sz="12" w:space="0"/>
            </w:tcBorders>
          </w:tcPr>
          <w:p>
            <w:pPr>
              <w:tabs>
                <w:tab w:val="left" w:pos="0"/>
              </w:tabs>
              <w:adjustRightInd w:val="0"/>
              <w:snapToGrid w:val="0"/>
              <w:spacing w:line="420" w:lineRule="exact"/>
              <w:rPr>
                <w:rFonts w:ascii="仿宋_GB2312" w:hAnsi="宋体" w:eastAsia="仿宋_GB2312"/>
                <w:color w:val="auto"/>
                <w:sz w:val="24"/>
              </w:rPr>
            </w:pPr>
          </w:p>
        </w:tc>
        <w:tc>
          <w:tcPr>
            <w:tcW w:w="569" w:type="dxa"/>
            <w:vMerge w:val="continue"/>
          </w:tcPr>
          <w:p>
            <w:pPr>
              <w:tabs>
                <w:tab w:val="left" w:pos="0"/>
              </w:tabs>
              <w:adjustRightInd w:val="0"/>
              <w:snapToGrid w:val="0"/>
              <w:spacing w:line="420" w:lineRule="exact"/>
              <w:rPr>
                <w:rFonts w:ascii="仿宋_GB2312" w:hAnsi="宋体" w:eastAsia="仿宋_GB2312"/>
                <w:color w:val="auto"/>
                <w:sz w:val="24"/>
              </w:rPr>
            </w:pPr>
          </w:p>
        </w:tc>
        <w:tc>
          <w:tcPr>
            <w:tcW w:w="3971" w:type="dxa"/>
            <w:vAlign w:val="center"/>
          </w:tcPr>
          <w:p>
            <w:pPr>
              <w:tabs>
                <w:tab w:val="left" w:pos="0"/>
              </w:tabs>
              <w:adjustRightInd w:val="0"/>
              <w:snapToGrid w:val="0"/>
              <w:spacing w:line="420" w:lineRule="exact"/>
              <w:rPr>
                <w:rFonts w:ascii="仿宋_GB2312" w:hAnsi="宋体" w:eastAsia="仿宋_GB2312"/>
                <w:color w:val="auto"/>
                <w:sz w:val="24"/>
              </w:rPr>
            </w:pPr>
            <w:r>
              <w:rPr>
                <w:rFonts w:hint="eastAsia" w:ascii="仿宋_GB2312" w:hAnsi="宋体" w:eastAsia="仿宋_GB2312"/>
                <w:color w:val="auto"/>
                <w:sz w:val="24"/>
              </w:rPr>
              <w:t>（11）售后服务</w:t>
            </w:r>
          </w:p>
        </w:tc>
        <w:tc>
          <w:tcPr>
            <w:tcW w:w="4738" w:type="dxa"/>
            <w:tcBorders>
              <w:right w:val="single" w:color="auto" w:sz="12" w:space="0"/>
            </w:tcBorders>
            <w:vAlign w:val="center"/>
          </w:tcPr>
          <w:p>
            <w:pPr>
              <w:tabs>
                <w:tab w:val="left" w:pos="0"/>
              </w:tabs>
              <w:adjustRightInd w:val="0"/>
              <w:snapToGrid w:val="0"/>
              <w:spacing w:line="420" w:lineRule="exact"/>
              <w:rPr>
                <w:rFonts w:ascii="仿宋_GB2312" w:hAnsi="宋体" w:eastAsia="仿宋_GB2312"/>
                <w:color w:val="auto"/>
                <w:sz w:val="24"/>
              </w:rPr>
            </w:pPr>
            <w:r>
              <w:rPr>
                <w:rFonts w:hint="eastAsia" w:ascii="仿宋_GB2312" w:hAnsi="宋体" w:eastAsia="仿宋_GB2312"/>
                <w:color w:val="auto"/>
                <w:sz w:val="24"/>
              </w:rPr>
              <w:t>应满足招标文件要求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19" w:type="dxa"/>
            <w:vMerge w:val="continue"/>
            <w:tcBorders>
              <w:left w:val="single" w:color="auto" w:sz="12" w:space="0"/>
              <w:bottom w:val="single" w:color="auto" w:sz="12" w:space="0"/>
            </w:tcBorders>
          </w:tcPr>
          <w:p>
            <w:pPr>
              <w:tabs>
                <w:tab w:val="left" w:pos="0"/>
              </w:tabs>
              <w:adjustRightInd w:val="0"/>
              <w:snapToGrid w:val="0"/>
              <w:spacing w:line="420" w:lineRule="exact"/>
              <w:rPr>
                <w:rFonts w:ascii="仿宋_GB2312" w:hAnsi="宋体" w:eastAsia="仿宋_GB2312"/>
                <w:color w:val="auto"/>
                <w:sz w:val="24"/>
              </w:rPr>
            </w:pPr>
          </w:p>
        </w:tc>
        <w:tc>
          <w:tcPr>
            <w:tcW w:w="569" w:type="dxa"/>
            <w:vMerge w:val="continue"/>
            <w:tcBorders>
              <w:bottom w:val="single" w:color="auto" w:sz="12" w:space="0"/>
            </w:tcBorders>
          </w:tcPr>
          <w:p>
            <w:pPr>
              <w:tabs>
                <w:tab w:val="left" w:pos="0"/>
              </w:tabs>
              <w:adjustRightInd w:val="0"/>
              <w:snapToGrid w:val="0"/>
              <w:spacing w:line="420" w:lineRule="exact"/>
              <w:rPr>
                <w:rFonts w:ascii="仿宋_GB2312" w:hAnsi="宋体" w:eastAsia="仿宋_GB2312"/>
                <w:color w:val="auto"/>
                <w:sz w:val="24"/>
              </w:rPr>
            </w:pPr>
          </w:p>
        </w:tc>
        <w:tc>
          <w:tcPr>
            <w:tcW w:w="3971" w:type="dxa"/>
            <w:tcBorders>
              <w:bottom w:val="single" w:color="auto" w:sz="12" w:space="0"/>
            </w:tcBorders>
            <w:vAlign w:val="center"/>
          </w:tcPr>
          <w:p>
            <w:pPr>
              <w:tabs>
                <w:tab w:val="left" w:pos="0"/>
              </w:tabs>
              <w:adjustRightInd w:val="0"/>
              <w:snapToGrid w:val="0"/>
              <w:spacing w:line="420" w:lineRule="exact"/>
              <w:rPr>
                <w:rFonts w:ascii="仿宋_GB2312" w:hAnsi="宋体" w:eastAsia="仿宋_GB2312"/>
                <w:color w:val="auto"/>
                <w:sz w:val="24"/>
              </w:rPr>
            </w:pPr>
            <w:r>
              <w:rPr>
                <w:rFonts w:hint="eastAsia" w:ascii="仿宋_GB2312" w:hAnsi="宋体" w:eastAsia="仿宋_GB2312"/>
                <w:color w:val="auto"/>
                <w:sz w:val="24"/>
              </w:rPr>
              <w:t>（12）投标有效期</w:t>
            </w:r>
          </w:p>
        </w:tc>
        <w:tc>
          <w:tcPr>
            <w:tcW w:w="4738" w:type="dxa"/>
            <w:tcBorders>
              <w:bottom w:val="single" w:color="auto" w:sz="12" w:space="0"/>
              <w:right w:val="single" w:color="auto" w:sz="12" w:space="0"/>
            </w:tcBorders>
            <w:vAlign w:val="center"/>
          </w:tcPr>
          <w:p>
            <w:pPr>
              <w:tabs>
                <w:tab w:val="left" w:pos="0"/>
              </w:tabs>
              <w:adjustRightInd w:val="0"/>
              <w:snapToGrid w:val="0"/>
              <w:spacing w:line="420" w:lineRule="exact"/>
              <w:rPr>
                <w:rFonts w:ascii="仿宋_GB2312" w:hAnsi="宋体" w:eastAsia="仿宋_GB2312"/>
                <w:color w:val="auto"/>
                <w:sz w:val="24"/>
              </w:rPr>
            </w:pPr>
            <w:r>
              <w:rPr>
                <w:rFonts w:hint="eastAsia" w:ascii="仿宋_GB2312" w:hAnsi="宋体" w:eastAsia="仿宋_GB2312"/>
                <w:color w:val="auto"/>
                <w:sz w:val="24"/>
              </w:rPr>
              <w:t>应满足招标文件规定</w:t>
            </w:r>
          </w:p>
        </w:tc>
      </w:tr>
    </w:tbl>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说明：以上各项有1项不合格，</w:t>
      </w:r>
      <w:r>
        <w:rPr>
          <w:rFonts w:hint="eastAsia" w:ascii="仿宋_GB2312" w:hAnsi="宋体" w:eastAsia="仿宋_GB2312"/>
          <w:color w:val="auto"/>
          <w:sz w:val="28"/>
          <w:szCs w:val="28"/>
          <w:lang w:val="en-US" w:eastAsia="zh-CN"/>
        </w:rPr>
        <w:t>符合性审查</w:t>
      </w:r>
      <w:r>
        <w:rPr>
          <w:rFonts w:hint="eastAsia" w:ascii="仿宋_GB2312" w:hAnsi="宋体" w:eastAsia="仿宋_GB2312"/>
          <w:color w:val="auto"/>
          <w:sz w:val="28"/>
          <w:szCs w:val="28"/>
        </w:rPr>
        <w:t>不予通过，</w:t>
      </w:r>
      <w:r>
        <w:rPr>
          <w:rFonts w:hint="eastAsia" w:ascii="仿宋_GB2312" w:hAnsi="宋体" w:eastAsia="仿宋_GB2312"/>
          <w:color w:val="auto"/>
          <w:sz w:val="28"/>
          <w:szCs w:val="28"/>
          <w:lang w:val="en-US" w:eastAsia="zh-CN"/>
        </w:rPr>
        <w:t>该投标人投标文件按无效处理</w:t>
      </w:r>
      <w:r>
        <w:rPr>
          <w:rFonts w:hint="eastAsia" w:ascii="仿宋_GB2312" w:hAnsi="宋体" w:eastAsia="仿宋_GB2312"/>
          <w:color w:val="auto"/>
          <w:sz w:val="28"/>
          <w:szCs w:val="28"/>
        </w:rPr>
        <w:t>。</w:t>
      </w:r>
    </w:p>
    <w:p>
      <w:pPr>
        <w:spacing w:line="500" w:lineRule="exact"/>
        <w:ind w:firstLine="700" w:firstLineChars="250"/>
        <w:rPr>
          <w:rFonts w:ascii="仿宋_GB2312" w:hAnsi="宋体" w:eastAsia="仿宋_GB2312"/>
          <w:color w:val="auto"/>
          <w:sz w:val="28"/>
          <w:szCs w:val="28"/>
        </w:rPr>
      </w:pPr>
      <w:r>
        <w:rPr>
          <w:rFonts w:hint="eastAsia" w:ascii="仿宋_GB2312" w:hAnsi="宋体" w:eastAsia="仿宋_GB2312"/>
          <w:color w:val="auto"/>
          <w:sz w:val="28"/>
          <w:szCs w:val="28"/>
        </w:rPr>
        <w:t>1.2.3 未通过符合性审查的投标文件，不得进入后续评标环节。</w:t>
      </w:r>
    </w:p>
    <w:p>
      <w:pPr>
        <w:spacing w:beforeLines="30" w:afterLines="30" w:line="360" w:lineRule="auto"/>
        <w:rPr>
          <w:rFonts w:ascii="仿宋_GB2312" w:hAnsi="宋体" w:eastAsia="仿宋_GB2312"/>
          <w:b/>
          <w:color w:val="auto"/>
          <w:sz w:val="30"/>
          <w:szCs w:val="30"/>
        </w:rPr>
      </w:pPr>
      <w:r>
        <w:rPr>
          <w:rFonts w:hint="eastAsia" w:ascii="仿宋_GB2312" w:hAnsi="宋体" w:eastAsia="仿宋_GB2312"/>
          <w:b/>
          <w:color w:val="auto"/>
          <w:sz w:val="30"/>
          <w:szCs w:val="30"/>
        </w:rPr>
        <w:t>1.3 投标文件的澄清</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1.3.1为有助于投标文件的审查、比较和评价，评标委员会可以书面形式要求投标人对其投标文件中含义不明确、同类问题表述不一致或者有明显文字和计算错误的内容作必要的澄清、说明或者补正。有关澄清、说明或者补正应以书面形式提交，并由其法定代表人或委托代理人签字。评标委员会不接受投标人主动提出的澄清、说明或者补正。</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1.3.2 投标人的澄清、说明或者补正不得超出投标文件的范围或者改变投标文件的实质性内容，并构成为投标文件的组成部分。</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1.3.3 评标委员会对投标人提交的澄清、说明或者补正有疑问的，可以要求投标人进一步澄清、说明或者补正，直至满足评标委员会的要求。</w:t>
      </w:r>
    </w:p>
    <w:p>
      <w:pPr>
        <w:spacing w:beforeLines="30" w:afterLines="30" w:line="360" w:lineRule="auto"/>
        <w:rPr>
          <w:rFonts w:ascii="仿宋_GB2312" w:hAnsi="宋体" w:eastAsia="仿宋_GB2312"/>
          <w:b/>
          <w:color w:val="auto"/>
          <w:sz w:val="30"/>
          <w:szCs w:val="30"/>
        </w:rPr>
      </w:pPr>
      <w:r>
        <w:rPr>
          <w:rFonts w:hint="eastAsia" w:ascii="仿宋_GB2312" w:hAnsi="宋体" w:eastAsia="仿宋_GB2312"/>
          <w:b/>
          <w:color w:val="auto"/>
          <w:sz w:val="30"/>
          <w:szCs w:val="30"/>
        </w:rPr>
        <w:t>1.4 投标文件比较与评价</w:t>
      </w:r>
    </w:p>
    <w:p>
      <w:pPr>
        <w:tabs>
          <w:tab w:val="left" w:pos="0"/>
        </w:tabs>
        <w:adjustRightInd w:val="0"/>
        <w:snapToGrid w:val="0"/>
        <w:spacing w:beforeLines="50" w:line="500" w:lineRule="exact"/>
        <w:ind w:firstLine="560" w:firstLineChars="200"/>
        <w:rPr>
          <w:rFonts w:ascii="仿宋_GB2312" w:hAnsi="宋体" w:eastAsia="仿宋_GB2312"/>
          <w:bCs/>
          <w:color w:val="auto"/>
          <w:sz w:val="28"/>
          <w:szCs w:val="28"/>
        </w:rPr>
      </w:pPr>
      <w:r>
        <w:rPr>
          <w:rFonts w:hint="eastAsia" w:ascii="仿宋_GB2312" w:hAnsi="宋体" w:eastAsia="仿宋_GB2312"/>
          <w:color w:val="auto"/>
          <w:sz w:val="28"/>
          <w:szCs w:val="28"/>
        </w:rPr>
        <w:t xml:space="preserve">1.4.1 </w:t>
      </w:r>
      <w:r>
        <w:rPr>
          <w:rFonts w:hint="eastAsia" w:ascii="仿宋_GB2312" w:hAnsi="宋体" w:eastAsia="仿宋_GB2312"/>
          <w:bCs/>
          <w:color w:val="auto"/>
          <w:sz w:val="28"/>
          <w:szCs w:val="28"/>
        </w:rPr>
        <w:t>评标委员会应按照招标文件中规定的评标方法</w:t>
      </w:r>
      <w:r>
        <w:rPr>
          <w:rFonts w:hint="eastAsia" w:ascii="仿宋_GB2312" w:hAnsi="宋体" w:eastAsia="仿宋_GB2312"/>
          <w:color w:val="auto"/>
          <w:sz w:val="28"/>
          <w:szCs w:val="28"/>
        </w:rPr>
        <w:t>和标准，</w:t>
      </w:r>
      <w:r>
        <w:rPr>
          <w:rFonts w:hint="eastAsia" w:ascii="仿宋_GB2312" w:hAnsi="宋体" w:eastAsia="仿宋_GB2312"/>
          <w:bCs/>
          <w:color w:val="auto"/>
          <w:sz w:val="28"/>
          <w:szCs w:val="28"/>
        </w:rPr>
        <w:t>对</w:t>
      </w:r>
      <w:r>
        <w:rPr>
          <w:rFonts w:hint="eastAsia" w:ascii="仿宋_GB2312" w:hAnsi="宋体" w:eastAsia="仿宋_GB2312"/>
          <w:color w:val="auto"/>
          <w:sz w:val="28"/>
          <w:szCs w:val="28"/>
        </w:rPr>
        <w:t>符合性审查</w:t>
      </w:r>
      <w:r>
        <w:rPr>
          <w:rFonts w:hint="eastAsia" w:ascii="仿宋_GB2312" w:hAnsi="宋体" w:eastAsia="仿宋_GB2312"/>
          <w:bCs/>
          <w:color w:val="auto"/>
          <w:sz w:val="28"/>
          <w:szCs w:val="28"/>
        </w:rPr>
        <w:t>通过的投标文件进行商务和技术评估，综合比较与评价。</w:t>
      </w:r>
    </w:p>
    <w:p>
      <w:pPr>
        <w:pStyle w:val="15"/>
        <w:adjustRightInd w:val="0"/>
        <w:snapToGrid w:val="0"/>
        <w:spacing w:line="500" w:lineRule="exact"/>
        <w:ind w:firstLine="560" w:firstLineChars="200"/>
        <w:rPr>
          <w:rFonts w:ascii="仿宋_GB2312" w:hAnsi="宋体" w:eastAsia="仿宋_GB2312"/>
          <w:bCs/>
          <w:color w:val="auto"/>
          <w:sz w:val="28"/>
          <w:szCs w:val="28"/>
        </w:rPr>
      </w:pPr>
      <w:r>
        <w:rPr>
          <w:rFonts w:hint="eastAsia" w:ascii="仿宋_GB2312" w:hAnsi="宋体" w:eastAsia="仿宋_GB2312"/>
          <w:color w:val="auto"/>
          <w:sz w:val="28"/>
          <w:szCs w:val="28"/>
        </w:rPr>
        <w:t xml:space="preserve">1.4.2 </w:t>
      </w:r>
      <w:r>
        <w:rPr>
          <w:rFonts w:hint="eastAsia" w:ascii="仿宋_GB2312" w:hAnsi="宋体" w:eastAsia="仿宋_GB2312"/>
          <w:bCs/>
          <w:color w:val="auto"/>
          <w:sz w:val="28"/>
          <w:szCs w:val="28"/>
        </w:rPr>
        <w:t>评标委员会将综合分析投标人的各项评审因素，而不以单项评审因素的优劣评选出中标人。对所有投标人的投标评价，都采用相同的程序和标准，严格按照招标文件的要求和条件进行。</w:t>
      </w:r>
    </w:p>
    <w:p>
      <w:pPr>
        <w:spacing w:line="500" w:lineRule="exact"/>
        <w:ind w:firstLine="548" w:firstLineChars="196"/>
        <w:rPr>
          <w:rFonts w:ascii="仿宋_GB2312" w:hAnsi="宋体" w:eastAsia="仿宋_GB2312"/>
          <w:color w:val="auto"/>
          <w:sz w:val="28"/>
          <w:szCs w:val="28"/>
        </w:rPr>
      </w:pPr>
      <w:r>
        <w:rPr>
          <w:rFonts w:hint="eastAsia" w:ascii="仿宋_GB2312" w:hAnsi="宋体" w:eastAsia="仿宋_GB2312"/>
          <w:color w:val="auto"/>
          <w:sz w:val="28"/>
          <w:szCs w:val="28"/>
        </w:rPr>
        <w:t>1.4.3 如果投标文件没有实质性响应招标文件的要求，评标委员会将予以拒绝。投标人不得通过修正或撤销不合要求的偏离或保留，从而使其投标成为实质性响应的投标。</w:t>
      </w:r>
    </w:p>
    <w:p>
      <w:pPr>
        <w:spacing w:beforeLines="30" w:afterLines="30" w:line="360" w:lineRule="auto"/>
        <w:rPr>
          <w:rFonts w:ascii="仿宋_GB2312" w:hAnsi="宋体" w:eastAsia="仿宋_GB2312"/>
          <w:b/>
          <w:color w:val="auto"/>
          <w:sz w:val="30"/>
          <w:szCs w:val="30"/>
        </w:rPr>
      </w:pPr>
      <w:r>
        <w:rPr>
          <w:rFonts w:hint="eastAsia" w:ascii="仿宋_GB2312" w:hAnsi="宋体" w:eastAsia="仿宋_GB2312"/>
          <w:b/>
          <w:color w:val="auto"/>
          <w:sz w:val="30"/>
          <w:szCs w:val="30"/>
        </w:rPr>
        <w:t>1.5 复核与核对评标结果</w:t>
      </w:r>
    </w:p>
    <w:p>
      <w:pPr>
        <w:spacing w:beforeLines="50"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1.5.1 评分汇总结束后，评标委员会应当进行复核，特别要对拟推荐中标候选人的、报价最低的、投标文件被认定无效的进行重点复核。</w:t>
      </w:r>
    </w:p>
    <w:p>
      <w:pPr>
        <w:pStyle w:val="66"/>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1.5.2 评标结果汇总完成后，评标报告签署前，采购代理机构应当</w:t>
      </w:r>
      <w:r>
        <w:rPr>
          <w:rFonts w:hint="eastAsia" w:ascii="仿宋_GB2312" w:hAnsi="宋体" w:eastAsia="仿宋_GB2312"/>
          <w:bCs/>
          <w:color w:val="auto"/>
          <w:sz w:val="28"/>
          <w:szCs w:val="28"/>
        </w:rPr>
        <w:t>核对评标结果，</w:t>
      </w:r>
      <w:r>
        <w:rPr>
          <w:rFonts w:hint="eastAsia" w:ascii="仿宋_GB2312" w:hAnsi="宋体" w:eastAsia="仿宋_GB2312"/>
          <w:color w:val="auto"/>
          <w:sz w:val="28"/>
          <w:szCs w:val="28"/>
        </w:rPr>
        <w:t>除下列情形外，任何人不得修改评标结果：</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（1）分值汇总计算错误的；</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（2）分项评分超出评分标准范围的；</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（3）评标委员会对客观评审因素评分不一致的；</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（4）经评标委员会认定评分畸高、畸低的。</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经复核发现存在以上情形之一的，评标委员会应当当场修改评标结果，并在评标报告中记载。</w:t>
      </w:r>
    </w:p>
    <w:p>
      <w:pPr>
        <w:spacing w:beforeLines="30" w:afterLines="30" w:line="360" w:lineRule="auto"/>
        <w:rPr>
          <w:rFonts w:ascii="仿宋_GB2312" w:hAnsi="宋体" w:eastAsia="仿宋_GB2312"/>
          <w:b/>
          <w:color w:val="auto"/>
          <w:sz w:val="30"/>
          <w:szCs w:val="30"/>
        </w:rPr>
      </w:pPr>
      <w:r>
        <w:rPr>
          <w:rFonts w:hint="eastAsia" w:ascii="仿宋_GB2312" w:hAnsi="宋体" w:eastAsia="仿宋_GB2312"/>
          <w:b/>
          <w:color w:val="auto"/>
          <w:sz w:val="30"/>
          <w:szCs w:val="30"/>
        </w:rPr>
        <w:t>1.6 确定中标候选人名单</w:t>
      </w:r>
    </w:p>
    <w:p>
      <w:pPr>
        <w:spacing w:beforeLines="50"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定标及定标程序详见第二章第9.1、9.2条款。</w:t>
      </w:r>
    </w:p>
    <w:p>
      <w:pPr>
        <w:spacing w:beforeLines="30" w:afterLines="30" w:line="360" w:lineRule="auto"/>
        <w:rPr>
          <w:rFonts w:ascii="仿宋_GB2312" w:hAnsi="宋体" w:eastAsia="仿宋_GB2312"/>
          <w:b/>
          <w:color w:val="auto"/>
          <w:sz w:val="30"/>
          <w:szCs w:val="30"/>
        </w:rPr>
      </w:pPr>
      <w:r>
        <w:rPr>
          <w:rFonts w:hint="eastAsia" w:ascii="仿宋_GB2312" w:hAnsi="宋体" w:eastAsia="仿宋_GB2312"/>
          <w:b/>
          <w:color w:val="auto"/>
          <w:sz w:val="30"/>
          <w:szCs w:val="30"/>
        </w:rPr>
        <w:t>1.7 编写评标报告</w:t>
      </w:r>
    </w:p>
    <w:p>
      <w:pPr>
        <w:spacing w:beforeLines="50" w:line="500" w:lineRule="exact"/>
        <w:ind w:firstLine="482"/>
        <w:rPr>
          <w:rFonts w:ascii="仿宋_GB2312" w:hAnsi="宋体" w:eastAsia="仿宋_GB2312"/>
          <w:color w:val="auto"/>
          <w:sz w:val="28"/>
          <w:szCs w:val="28"/>
        </w:rPr>
      </w:pPr>
      <w:r>
        <w:rPr>
          <w:rFonts w:hint="eastAsia" w:ascii="仿宋_GB2312" w:hAnsi="宋体" w:eastAsia="仿宋_GB2312"/>
          <w:color w:val="auto"/>
          <w:sz w:val="28"/>
          <w:szCs w:val="28"/>
        </w:rPr>
        <w:t>1.7.1 评标委员会在确定中标候选人名单后，应当编写评标报告并向采购人出具。评标报告应当包括以下内容：</w:t>
      </w:r>
    </w:p>
    <w:p>
      <w:pPr>
        <w:widowControl/>
        <w:spacing w:line="500" w:lineRule="exact"/>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（1）招标公告刊登的媒体名称、开标日期和地点；</w:t>
      </w:r>
    </w:p>
    <w:p>
      <w:pPr>
        <w:widowControl/>
        <w:spacing w:line="500" w:lineRule="exact"/>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（2）投标人名单和评标委员会成员名单；</w:t>
      </w:r>
    </w:p>
    <w:p>
      <w:pPr>
        <w:widowControl/>
        <w:spacing w:line="500" w:lineRule="exact"/>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（3）评标方法和标准；</w:t>
      </w:r>
    </w:p>
    <w:p>
      <w:pPr>
        <w:widowControl/>
        <w:spacing w:line="500" w:lineRule="exact"/>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（4）开标记录和评标情况及说明，包括无效投标人名单及原因；</w:t>
      </w:r>
    </w:p>
    <w:p>
      <w:pPr>
        <w:widowControl/>
        <w:spacing w:line="500" w:lineRule="exact"/>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（5）评标结果，确定的中标候选人名单；</w:t>
      </w:r>
    </w:p>
    <w:p>
      <w:pPr>
        <w:widowControl/>
        <w:spacing w:line="500" w:lineRule="exact"/>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（6）其他需要说明的情况，包括评标过程中投标人根据评标委员会要求进行的澄清、说明或者补正，评标委员会成员的更换等，报价最高的投标人为第一中标候选人的，对其报价合理性予以特别书面。</w:t>
      </w:r>
    </w:p>
    <w:p>
      <w:pPr>
        <w:widowControl/>
        <w:spacing w:line="500" w:lineRule="exact"/>
        <w:ind w:firstLine="48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1.7.2 评标委员会成员应当对评标报告予以签字确认，对评标过程有不同意见的，应当在评标报告中写明并说明理由。签字但未写明不同意见或者未说明理由的，视同无意见。拒不签字又未另行书面说明其不同意见和理由的，视同同意评标报告。</w:t>
      </w:r>
    </w:p>
    <w:p>
      <w:pPr>
        <w:spacing w:beforeLines="50" w:afterLines="50" w:line="360" w:lineRule="auto"/>
        <w:rPr>
          <w:rFonts w:ascii="仿宋_GB2312" w:hAnsi="宋体" w:eastAsia="仿宋_GB2312"/>
          <w:b/>
          <w:color w:val="auto"/>
          <w:sz w:val="32"/>
          <w:szCs w:val="32"/>
        </w:rPr>
      </w:pPr>
      <w:r>
        <w:rPr>
          <w:rFonts w:hint="eastAsia" w:ascii="仿宋_GB2312" w:hAnsi="宋体" w:eastAsia="仿宋_GB2312"/>
          <w:b/>
          <w:color w:val="auto"/>
          <w:sz w:val="32"/>
          <w:szCs w:val="32"/>
        </w:rPr>
        <w:t>2. 评标方法</w:t>
      </w:r>
    </w:p>
    <w:p>
      <w:pPr>
        <w:spacing w:beforeLines="30" w:afterLines="30" w:line="360" w:lineRule="auto"/>
        <w:rPr>
          <w:rFonts w:ascii="仿宋_GB2312" w:hAnsi="宋体" w:eastAsia="仿宋_GB2312"/>
          <w:b/>
          <w:color w:val="auto"/>
          <w:sz w:val="30"/>
          <w:szCs w:val="30"/>
        </w:rPr>
      </w:pPr>
      <w:r>
        <w:rPr>
          <w:rFonts w:hint="eastAsia" w:ascii="仿宋_GB2312" w:hAnsi="宋体" w:eastAsia="仿宋_GB2312"/>
          <w:b/>
          <w:color w:val="auto"/>
          <w:sz w:val="30"/>
          <w:szCs w:val="30"/>
        </w:rPr>
        <w:t>2.1综合评分法</w:t>
      </w:r>
    </w:p>
    <w:p>
      <w:pPr>
        <w:pStyle w:val="9"/>
        <w:spacing w:line="500" w:lineRule="exact"/>
        <w:ind w:firstLine="560"/>
        <w:rPr>
          <w:rFonts w:ascii="仿宋_GB2312" w:hAnsi="宋体" w:eastAsia="仿宋_GB2312" w:cs="宋体"/>
          <w:color w:val="auto"/>
          <w:kern w:val="0"/>
          <w:sz w:val="28"/>
          <w:szCs w:val="28"/>
        </w:rPr>
      </w:pPr>
      <w:r>
        <w:rPr>
          <w:rFonts w:hint="eastAsia" w:ascii="仿宋_GB2312" w:hAnsi="宋体" w:eastAsia="仿宋_GB2312"/>
          <w:color w:val="auto"/>
          <w:sz w:val="28"/>
          <w:szCs w:val="28"/>
        </w:rPr>
        <w:t>本项目评标方法采用综合评分法。即</w:t>
      </w:r>
      <w:r>
        <w:rPr>
          <w:rFonts w:hint="eastAsia" w:ascii="仿宋_GB2312" w:hAnsi="宋体" w:eastAsia="仿宋_GB2312" w:cs="宋体"/>
          <w:color w:val="auto"/>
          <w:kern w:val="0"/>
          <w:sz w:val="28"/>
          <w:szCs w:val="28"/>
        </w:rPr>
        <w:t>投标文件满足招标文件全部实质性要求，且按照评审因素的量化指标评审得分最高的投标人为中标候选人的评标方法。</w:t>
      </w:r>
    </w:p>
    <w:p>
      <w:pPr>
        <w:spacing w:beforeLines="30" w:afterLines="30" w:line="360" w:lineRule="auto"/>
        <w:rPr>
          <w:rFonts w:ascii="仿宋_GB2312" w:hAnsi="宋体" w:eastAsia="仿宋_GB2312"/>
          <w:b/>
          <w:color w:val="auto"/>
          <w:sz w:val="30"/>
          <w:szCs w:val="30"/>
        </w:rPr>
      </w:pPr>
      <w:r>
        <w:rPr>
          <w:rFonts w:hint="eastAsia" w:ascii="仿宋_GB2312" w:hAnsi="宋体" w:eastAsia="仿宋_GB2312"/>
          <w:b/>
          <w:color w:val="auto"/>
          <w:sz w:val="30"/>
          <w:szCs w:val="30"/>
        </w:rPr>
        <w:t>2.2 评标细则及标准</w:t>
      </w:r>
    </w:p>
    <w:p>
      <w:pPr>
        <w:tabs>
          <w:tab w:val="left" w:pos="0"/>
        </w:tabs>
        <w:adjustRightInd w:val="0"/>
        <w:snapToGrid w:val="0"/>
        <w:spacing w:line="500" w:lineRule="exact"/>
        <w:ind w:firstLine="562" w:firstLineChars="200"/>
        <w:rPr>
          <w:rFonts w:ascii="仿宋_GB2312" w:hAnsi="宋体" w:eastAsia="仿宋_GB2312"/>
          <w:b/>
          <w:color w:val="auto"/>
          <w:sz w:val="28"/>
          <w:szCs w:val="28"/>
        </w:rPr>
      </w:pPr>
      <w:r>
        <w:rPr>
          <w:rFonts w:hint="eastAsia" w:ascii="仿宋_GB2312" w:hAnsi="宋体" w:eastAsia="仿宋_GB2312"/>
          <w:b/>
          <w:color w:val="auto"/>
          <w:sz w:val="28"/>
          <w:szCs w:val="28"/>
        </w:rPr>
        <w:t>2.2.1 评审因素</w:t>
      </w:r>
    </w:p>
    <w:p>
      <w:pPr>
        <w:adjustRightInd w:val="0"/>
        <w:snapToGrid w:val="0"/>
        <w:spacing w:beforeLines="50" w:line="500" w:lineRule="exact"/>
        <w:ind w:firstLine="560" w:firstLineChars="200"/>
        <w:jc w:val="left"/>
        <w:rPr>
          <w:rFonts w:ascii="仿宋_GB2312" w:hAnsi="宋体" w:eastAsia="仿宋_GB2312"/>
          <w:bCs/>
          <w:color w:val="auto"/>
          <w:sz w:val="28"/>
          <w:szCs w:val="28"/>
        </w:rPr>
      </w:pPr>
      <w:r>
        <w:rPr>
          <w:rFonts w:hint="eastAsia" w:ascii="仿宋_GB2312" w:hAnsi="宋体" w:eastAsia="仿宋_GB2312"/>
          <w:color w:val="auto"/>
          <w:sz w:val="28"/>
          <w:szCs w:val="28"/>
        </w:rPr>
        <w:t>本采购项目评审因素包括：</w:t>
      </w:r>
      <w:r>
        <w:rPr>
          <w:rFonts w:hint="eastAsia" w:ascii="仿宋_GB2312" w:hAnsi="宋体" w:eastAsia="仿宋_GB2312" w:cs="宋体"/>
          <w:b/>
          <w:color w:val="auto"/>
          <w:kern w:val="0"/>
          <w:sz w:val="28"/>
          <w:szCs w:val="28"/>
        </w:rPr>
        <w:t>投标报价、技术、质量、</w:t>
      </w:r>
      <w:r>
        <w:rPr>
          <w:rFonts w:hint="eastAsia" w:ascii="仿宋_GB2312" w:hAnsi="宋体" w:eastAsia="仿宋_GB2312" w:cs="宋体"/>
          <w:b/>
          <w:color w:val="auto"/>
          <w:kern w:val="0"/>
          <w:sz w:val="28"/>
          <w:szCs w:val="28"/>
          <w:lang w:val="en-US" w:eastAsia="zh-CN"/>
        </w:rPr>
        <w:t>实施方案、</w:t>
      </w:r>
      <w:r>
        <w:rPr>
          <w:rFonts w:hint="eastAsia" w:ascii="仿宋_GB2312" w:hAnsi="宋体" w:eastAsia="仿宋_GB2312" w:cs="宋体"/>
          <w:b/>
          <w:color w:val="auto"/>
          <w:kern w:val="0"/>
          <w:sz w:val="28"/>
          <w:szCs w:val="28"/>
        </w:rPr>
        <w:t>售后服务</w:t>
      </w:r>
      <w:r>
        <w:rPr>
          <w:rFonts w:hint="eastAsia" w:ascii="仿宋_GB2312" w:hAnsi="宋体" w:eastAsia="仿宋_GB2312" w:cs="宋体"/>
          <w:color w:val="auto"/>
          <w:kern w:val="0"/>
          <w:sz w:val="28"/>
          <w:szCs w:val="28"/>
        </w:rPr>
        <w:t>等</w:t>
      </w:r>
      <w:r>
        <w:rPr>
          <w:rFonts w:hint="eastAsia" w:ascii="仿宋_GB2312" w:hAnsi="宋体" w:eastAsia="仿宋_GB2312"/>
          <w:color w:val="auto"/>
          <w:sz w:val="28"/>
          <w:szCs w:val="28"/>
        </w:rPr>
        <w:t>对招标文件的响应程度，以及相应的比重或者权值等，但不包括第二章第3.1条</w:t>
      </w:r>
      <w:r>
        <w:rPr>
          <w:rFonts w:hint="eastAsia" w:ascii="仿宋_GB2312" w:hAnsi="宋体" w:eastAsia="仿宋_GB2312" w:cs="宋体"/>
          <w:color w:val="auto"/>
          <w:kern w:val="0"/>
          <w:sz w:val="28"/>
          <w:szCs w:val="28"/>
          <w:lang w:val="zh-CN"/>
        </w:rPr>
        <w:t>款</w:t>
      </w:r>
      <w:r>
        <w:rPr>
          <w:rFonts w:hint="eastAsia" w:ascii="仿宋_GB2312" w:hAnsi="宋体" w:eastAsia="仿宋_GB2312"/>
          <w:color w:val="auto"/>
          <w:sz w:val="28"/>
          <w:szCs w:val="28"/>
        </w:rPr>
        <w:t>规定的投标人资格条件。</w:t>
      </w:r>
      <w:r>
        <w:rPr>
          <w:rFonts w:hint="eastAsia" w:ascii="仿宋_GB2312" w:hAnsi="宋体" w:eastAsia="仿宋_GB2312"/>
          <w:bCs/>
          <w:color w:val="auto"/>
          <w:sz w:val="28"/>
          <w:szCs w:val="28"/>
        </w:rPr>
        <w:t>项目的评标因素和标准见 “综合评分明细表”。</w:t>
      </w:r>
    </w:p>
    <w:p>
      <w:pPr>
        <w:spacing w:line="500" w:lineRule="exact"/>
        <w:ind w:firstLine="562" w:firstLineChars="200"/>
        <w:rPr>
          <w:rFonts w:ascii="仿宋_GB2312" w:hAnsi="宋体" w:eastAsia="仿宋_GB2312"/>
          <w:b/>
          <w:color w:val="auto"/>
          <w:sz w:val="28"/>
          <w:szCs w:val="28"/>
        </w:rPr>
      </w:pPr>
      <w:r>
        <w:rPr>
          <w:rFonts w:hint="eastAsia" w:ascii="仿宋_GB2312" w:hAnsi="宋体" w:eastAsia="仿宋_GB2312"/>
          <w:b/>
          <w:color w:val="auto"/>
          <w:sz w:val="28"/>
          <w:szCs w:val="28"/>
        </w:rPr>
        <w:t>2.2.2 投标报价评价</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2.2.2.1投标人的价格分，按照《政府采购货物和服务招标投标管理办法》（财政部第87号令）第五十五条和财政部、工业和信息化部《关于印发&lt;政府采购促进中小企业发展管理办法&gt;的通知》(财库〔2020〕46号)文件的规定，采用低价优先法计算，以本次满足投标文件要求的</w:t>
      </w:r>
      <w:r>
        <w:rPr>
          <w:rFonts w:hint="eastAsia" w:ascii="仿宋_GB2312" w:hAnsi="宋体" w:eastAsia="仿宋_GB2312"/>
          <w:b/>
          <w:color w:val="auto"/>
          <w:sz w:val="28"/>
          <w:szCs w:val="28"/>
        </w:rPr>
        <w:t>最低投标评审价为评标基准价</w:t>
      </w:r>
      <w:r>
        <w:rPr>
          <w:rFonts w:hint="eastAsia" w:ascii="仿宋_GB2312" w:hAnsi="宋体" w:eastAsia="仿宋_GB2312"/>
          <w:color w:val="auto"/>
          <w:sz w:val="28"/>
          <w:szCs w:val="28"/>
        </w:rPr>
        <w:t>，其价格为满分。</w:t>
      </w:r>
    </w:p>
    <w:p>
      <w:pPr>
        <w:spacing w:line="560" w:lineRule="exact"/>
        <w:ind w:firstLine="560" w:firstLineChars="200"/>
        <w:rPr>
          <w:rFonts w:ascii="仿宋_GB2312" w:hAnsi="宋体" w:eastAsia="仿宋_GB2312"/>
          <w:bCs/>
          <w:color w:val="auto"/>
          <w:sz w:val="28"/>
          <w:szCs w:val="28"/>
        </w:rPr>
      </w:pPr>
      <w:r>
        <w:rPr>
          <w:rFonts w:hint="eastAsia" w:ascii="仿宋_GB2312" w:hAnsi="宋体" w:eastAsia="仿宋_GB2312"/>
          <w:color w:val="auto"/>
          <w:sz w:val="28"/>
          <w:szCs w:val="28"/>
        </w:rPr>
        <w:t>2.2.2.2投标人的价格分，统一按照下列公式</w:t>
      </w:r>
      <w:r>
        <w:rPr>
          <w:rFonts w:hint="eastAsia" w:ascii="仿宋_GB2312" w:hAnsi="宋体" w:eastAsia="仿宋_GB2312"/>
          <w:bCs/>
          <w:color w:val="auto"/>
          <w:sz w:val="28"/>
          <w:szCs w:val="28"/>
        </w:rPr>
        <w:t>计算：</w:t>
      </w:r>
    </w:p>
    <w:p>
      <w:pPr>
        <w:spacing w:line="560" w:lineRule="exact"/>
        <w:ind w:firstLine="562" w:firstLineChars="200"/>
        <w:rPr>
          <w:rFonts w:ascii="仿宋_GB2312" w:hAnsi="宋体" w:eastAsia="仿宋_GB2312"/>
          <w:b/>
          <w:bCs/>
          <w:color w:val="auto"/>
          <w:sz w:val="28"/>
          <w:szCs w:val="28"/>
        </w:rPr>
      </w:pPr>
      <w:r>
        <w:rPr>
          <w:rFonts w:hint="eastAsia" w:ascii="仿宋_GB2312" w:hAnsi="宋体" w:eastAsia="仿宋_GB2312"/>
          <w:b/>
          <w:bCs/>
          <w:color w:val="auto"/>
          <w:sz w:val="28"/>
          <w:szCs w:val="28"/>
        </w:rPr>
        <w:t>投标评审价=投标报价×（1-投标报价扣除幅度）</w:t>
      </w:r>
    </w:p>
    <w:p>
      <w:pPr>
        <w:spacing w:line="560" w:lineRule="exact"/>
        <w:ind w:firstLine="562" w:firstLineChars="200"/>
        <w:rPr>
          <w:rFonts w:hint="default" w:ascii="仿宋_GB2312" w:hAnsi="宋体" w:eastAsia="仿宋_GB2312"/>
          <w:b/>
          <w:color w:val="auto"/>
          <w:sz w:val="28"/>
          <w:szCs w:val="28"/>
          <w:lang w:val="en-US" w:eastAsia="zh-CN"/>
        </w:rPr>
      </w:pPr>
      <w:r>
        <w:rPr>
          <w:rFonts w:hint="eastAsia" w:ascii="仿宋_GB2312" w:hAnsi="宋体" w:eastAsia="仿宋_GB2312"/>
          <w:b/>
          <w:color w:val="auto"/>
          <w:sz w:val="28"/>
          <w:szCs w:val="28"/>
        </w:rPr>
        <w:t>投标报价得分=(评标基准价／投标报价)×100×</w:t>
      </w:r>
      <w:r>
        <w:rPr>
          <w:rFonts w:hint="eastAsia" w:ascii="仿宋_GB2312" w:hAnsi="宋体" w:eastAsia="仿宋_GB2312"/>
          <w:b/>
          <w:color w:val="auto"/>
          <w:sz w:val="28"/>
          <w:szCs w:val="28"/>
          <w:lang w:val="en-US" w:eastAsia="zh-CN"/>
        </w:rPr>
        <w:t>30%</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2.2.2.3 投标人报价扣除幅度如下：</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（1）投标人提供的货物全部为小微企业制造的，给予投标报价扣除</w:t>
      </w:r>
      <w:r>
        <w:rPr>
          <w:rFonts w:hint="eastAsia" w:ascii="仿宋_GB2312" w:hAnsi="宋体" w:eastAsia="仿宋_GB2312"/>
          <w:color w:val="auto"/>
          <w:sz w:val="28"/>
          <w:szCs w:val="28"/>
          <w:u w:val="single"/>
        </w:rPr>
        <w:t xml:space="preserve"> 6 %</w:t>
      </w:r>
      <w:r>
        <w:rPr>
          <w:rFonts w:hint="eastAsia" w:ascii="仿宋_GB2312" w:hAnsi="宋体" w:eastAsia="仿宋_GB2312"/>
          <w:color w:val="auto"/>
          <w:sz w:val="28"/>
          <w:szCs w:val="28"/>
        </w:rPr>
        <w:t>优惠政策，只要有大中型企业制造货物情形的，就不得享受价格扣除优惠政策。</w:t>
      </w:r>
    </w:p>
    <w:p>
      <w:pPr>
        <w:spacing w:line="560" w:lineRule="exact"/>
        <w:ind w:firstLine="560" w:firstLineChars="200"/>
        <w:rPr>
          <w:rFonts w:ascii="仿宋_GB2312" w:hAnsi="宋体" w:eastAsia="仿宋_GB2312"/>
          <w:color w:val="auto"/>
          <w:kern w:val="0"/>
          <w:sz w:val="28"/>
          <w:szCs w:val="28"/>
        </w:rPr>
      </w:pPr>
      <w:r>
        <w:rPr>
          <w:rFonts w:hint="eastAsia" w:ascii="仿宋_GB2312" w:hAnsi="宋体" w:eastAsia="仿宋_GB2312"/>
          <w:color w:val="auto"/>
          <w:kern w:val="0"/>
          <w:sz w:val="28"/>
          <w:szCs w:val="28"/>
        </w:rPr>
        <w:t>（2）投标人须知前附表规定接受联合体投标的，对于联合体协议中约定任意一方提供的货物全部由小微企业制造，且占采购合同总金额30%～40%（不含）、40%～50%（不含）、50%～100%（不含）的，分别给予投标</w:t>
      </w:r>
      <w:r>
        <w:rPr>
          <w:rFonts w:hint="eastAsia" w:ascii="仿宋_GB2312" w:hAnsi="宋体" w:eastAsia="仿宋_GB2312"/>
          <w:color w:val="auto"/>
          <w:sz w:val="28"/>
          <w:szCs w:val="28"/>
        </w:rPr>
        <w:t>报价扣除2%、2.5%、3%优惠政策</w:t>
      </w:r>
      <w:r>
        <w:rPr>
          <w:rFonts w:hint="eastAsia" w:ascii="仿宋_GB2312" w:hAnsi="宋体" w:eastAsia="仿宋_GB2312"/>
          <w:color w:val="auto"/>
          <w:kern w:val="0"/>
          <w:sz w:val="28"/>
          <w:szCs w:val="28"/>
        </w:rPr>
        <w:t>。</w:t>
      </w:r>
    </w:p>
    <w:p>
      <w:pPr>
        <w:spacing w:line="560" w:lineRule="exact"/>
        <w:ind w:firstLine="560" w:firstLineChars="200"/>
        <w:rPr>
          <w:rFonts w:ascii="仿宋_GB2312" w:hAnsi="宋体" w:eastAsia="仿宋_GB2312"/>
          <w:color w:val="auto"/>
          <w:kern w:val="0"/>
          <w:sz w:val="28"/>
          <w:szCs w:val="28"/>
        </w:rPr>
      </w:pPr>
      <w:r>
        <w:rPr>
          <w:rFonts w:hint="eastAsia" w:ascii="仿宋_GB2312" w:hAnsi="宋体" w:eastAsia="仿宋_GB2312"/>
          <w:color w:val="auto"/>
          <w:sz w:val="28"/>
          <w:szCs w:val="28"/>
        </w:rPr>
        <w:t>（3）投标人须知前附表规定允许大中型企业向一家或者多家小微企业分包的，对于分包意向协议约定小微企业的合同份额占到合同总金额30%</w:t>
      </w:r>
      <w:r>
        <w:rPr>
          <w:rFonts w:hint="eastAsia" w:ascii="仿宋_GB2312" w:hAnsi="宋体" w:eastAsia="仿宋_GB2312"/>
          <w:color w:val="auto"/>
          <w:kern w:val="0"/>
          <w:sz w:val="28"/>
          <w:szCs w:val="28"/>
        </w:rPr>
        <w:t>～40%（不含）、40%～50%（不含）、50%以上的，分别给予投标</w:t>
      </w:r>
      <w:r>
        <w:rPr>
          <w:rFonts w:hint="eastAsia" w:ascii="仿宋_GB2312" w:hAnsi="宋体" w:eastAsia="仿宋_GB2312"/>
          <w:color w:val="auto"/>
          <w:sz w:val="28"/>
          <w:szCs w:val="28"/>
        </w:rPr>
        <w:t>报价扣除2%、2.5%、3%优惠政策</w:t>
      </w:r>
      <w:r>
        <w:rPr>
          <w:rFonts w:hint="eastAsia" w:ascii="仿宋_GB2312" w:hAnsi="宋体" w:eastAsia="仿宋_GB2312"/>
          <w:color w:val="auto"/>
          <w:kern w:val="0"/>
          <w:sz w:val="28"/>
          <w:szCs w:val="28"/>
        </w:rPr>
        <w:t>。</w:t>
      </w:r>
    </w:p>
    <w:p>
      <w:pPr>
        <w:spacing w:line="560" w:lineRule="exact"/>
        <w:ind w:firstLine="562" w:firstLineChars="200"/>
        <w:rPr>
          <w:rFonts w:ascii="仿宋_GB2312" w:hAnsi="宋体" w:eastAsia="仿宋_GB2312"/>
          <w:b/>
          <w:bCs/>
          <w:color w:val="auto"/>
          <w:sz w:val="28"/>
          <w:szCs w:val="28"/>
        </w:rPr>
      </w:pPr>
      <w:r>
        <w:rPr>
          <w:rFonts w:hint="eastAsia" w:ascii="仿宋_GB2312" w:hAnsi="宋体" w:eastAsia="仿宋_GB2312"/>
          <w:b/>
          <w:bCs/>
          <w:color w:val="auto"/>
          <w:sz w:val="28"/>
          <w:szCs w:val="28"/>
        </w:rPr>
        <w:t>2.2.3 技术、质量、</w:t>
      </w:r>
      <w:r>
        <w:rPr>
          <w:rFonts w:hint="eastAsia" w:ascii="仿宋_GB2312" w:hAnsi="宋体" w:eastAsia="仿宋_GB2312"/>
          <w:b/>
          <w:bCs/>
          <w:color w:val="auto"/>
          <w:sz w:val="28"/>
          <w:szCs w:val="28"/>
          <w:lang w:val="en-US" w:eastAsia="zh-CN"/>
        </w:rPr>
        <w:t>实施方案、</w:t>
      </w:r>
      <w:r>
        <w:rPr>
          <w:rFonts w:hint="eastAsia" w:ascii="仿宋_GB2312" w:hAnsi="宋体" w:eastAsia="仿宋_GB2312"/>
          <w:b/>
          <w:bCs/>
          <w:color w:val="auto"/>
          <w:sz w:val="28"/>
          <w:szCs w:val="28"/>
        </w:rPr>
        <w:t>售后服务等评价及政府采购政策加分</w:t>
      </w:r>
    </w:p>
    <w:p>
      <w:pPr>
        <w:spacing w:line="560" w:lineRule="exact"/>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2.2.3.1技术、商务等评分项响应评分。按照 “综合评分明细表”规定的评审因素和标准，对技术、商务等评分项计算得分。</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bCs/>
          <w:color w:val="auto"/>
          <w:sz w:val="28"/>
          <w:szCs w:val="28"/>
        </w:rPr>
        <w:t>2.2.3.2本项目（包）采购的产品</w:t>
      </w:r>
      <w:r>
        <w:rPr>
          <w:rFonts w:hint="eastAsia" w:ascii="仿宋_GB2312" w:hAnsi="宋体" w:eastAsia="仿宋_GB2312"/>
          <w:color w:val="auto"/>
          <w:sz w:val="28"/>
          <w:szCs w:val="28"/>
        </w:rPr>
        <w:t>需落实政府采购政策（优先采购）的，对符合第二章第3.4.1条款规定条件的投标人，</w:t>
      </w:r>
      <w:r>
        <w:rPr>
          <w:rFonts w:hint="eastAsia" w:ascii="仿宋_GB2312" w:hAnsi="宋体" w:eastAsia="仿宋_GB2312"/>
          <w:bCs/>
          <w:color w:val="auto"/>
          <w:sz w:val="28"/>
          <w:szCs w:val="28"/>
        </w:rPr>
        <w:t>按照 “综合评分明细表”的</w:t>
      </w:r>
      <w:r>
        <w:rPr>
          <w:rFonts w:hint="eastAsia" w:ascii="仿宋_GB2312" w:hAnsi="宋体" w:eastAsia="仿宋_GB2312"/>
          <w:color w:val="auto"/>
          <w:sz w:val="28"/>
          <w:szCs w:val="28"/>
        </w:rPr>
        <w:t>相关规定进行技术项得分计算。</w:t>
      </w:r>
    </w:p>
    <w:p>
      <w:pPr>
        <w:spacing w:line="560" w:lineRule="exact"/>
        <w:ind w:firstLine="562" w:firstLineChars="200"/>
        <w:rPr>
          <w:rFonts w:ascii="仿宋_GB2312" w:hAnsi="宋体" w:eastAsia="仿宋_GB2312"/>
          <w:b/>
          <w:bCs/>
          <w:color w:val="auto"/>
          <w:sz w:val="28"/>
          <w:szCs w:val="28"/>
        </w:rPr>
      </w:pPr>
      <w:r>
        <w:rPr>
          <w:rFonts w:hint="eastAsia" w:ascii="仿宋_GB2312" w:hAnsi="宋体" w:eastAsia="仿宋_GB2312"/>
          <w:b/>
          <w:bCs/>
          <w:color w:val="auto"/>
          <w:sz w:val="28"/>
          <w:szCs w:val="28"/>
        </w:rPr>
        <w:t>2.2.4 评审总得分</w:t>
      </w:r>
    </w:p>
    <w:p>
      <w:pPr>
        <w:spacing w:line="560" w:lineRule="exact"/>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2.2.4.1 评审总得分为投标报价、技术、</w:t>
      </w:r>
      <w:r>
        <w:rPr>
          <w:rFonts w:hint="eastAsia" w:ascii="仿宋_GB2312" w:hAnsi="宋体" w:eastAsia="仿宋_GB2312"/>
          <w:bCs/>
          <w:color w:val="auto"/>
          <w:sz w:val="28"/>
          <w:szCs w:val="28"/>
          <w:lang w:val="en-US" w:eastAsia="zh-CN"/>
        </w:rPr>
        <w:t>质量</w:t>
      </w:r>
      <w:r>
        <w:rPr>
          <w:rFonts w:hint="eastAsia" w:ascii="仿宋_GB2312" w:hAnsi="宋体" w:eastAsia="仿宋_GB2312"/>
          <w:bCs/>
          <w:color w:val="auto"/>
          <w:sz w:val="28"/>
          <w:szCs w:val="28"/>
        </w:rPr>
        <w:t>、</w:t>
      </w:r>
      <w:r>
        <w:rPr>
          <w:rFonts w:hint="eastAsia" w:ascii="仿宋_GB2312" w:hAnsi="宋体" w:eastAsia="仿宋_GB2312"/>
          <w:bCs/>
          <w:color w:val="auto"/>
          <w:sz w:val="28"/>
          <w:szCs w:val="28"/>
          <w:lang w:val="en-US" w:eastAsia="zh-CN"/>
        </w:rPr>
        <w:t>实施方案、</w:t>
      </w:r>
      <w:r>
        <w:rPr>
          <w:rFonts w:hint="eastAsia" w:ascii="仿宋_GB2312" w:hAnsi="宋体" w:eastAsia="仿宋_GB2312"/>
          <w:bCs/>
          <w:color w:val="auto"/>
          <w:sz w:val="28"/>
          <w:szCs w:val="28"/>
        </w:rPr>
        <w:t>售后服务等分项得分之和。评审总得分按下例公式计算：</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评审总得分＝F1＋F2＋……＋Fn</w:t>
      </w:r>
    </w:p>
    <w:p>
      <w:pPr>
        <w:spacing w:line="560" w:lineRule="exact"/>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F1、F2……Fn分别为各项评审因素的汇总得分</w:t>
      </w:r>
    </w:p>
    <w:p>
      <w:pPr>
        <w:spacing w:line="560" w:lineRule="exact"/>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2.2.4.2评审过程中，不得去掉报价中的最高报价和最低报价。</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s="宋体"/>
          <w:color w:val="auto"/>
          <w:kern w:val="0"/>
          <w:sz w:val="28"/>
          <w:szCs w:val="28"/>
        </w:rPr>
        <w:t>2.2.4.3</w:t>
      </w:r>
      <w:r>
        <w:rPr>
          <w:rFonts w:hint="eastAsia" w:ascii="仿宋_GB2312" w:hAnsi="宋体" w:eastAsia="仿宋_GB2312"/>
          <w:color w:val="auto"/>
          <w:sz w:val="28"/>
          <w:szCs w:val="28"/>
        </w:rPr>
        <w:t>评审时，评标委员会成员应当独立对满足招标文件全部实质性要求投标人的</w:t>
      </w:r>
      <w:r>
        <w:rPr>
          <w:rFonts w:hint="eastAsia" w:ascii="仿宋_GB2312" w:hAnsi="宋体" w:eastAsia="仿宋_GB2312"/>
          <w:bCs/>
          <w:color w:val="auto"/>
          <w:sz w:val="28"/>
          <w:szCs w:val="28"/>
        </w:rPr>
        <w:t>投标文件</w:t>
      </w:r>
      <w:r>
        <w:rPr>
          <w:rFonts w:hint="eastAsia" w:ascii="仿宋_GB2312" w:hAnsi="宋体" w:eastAsia="仿宋_GB2312"/>
          <w:color w:val="auto"/>
          <w:sz w:val="28"/>
          <w:szCs w:val="28"/>
        </w:rPr>
        <w:t>进行评价、评分，然后汇总每个投标人每项评分因素的得分。每个投标人的最终得分为所有评标委员会成员评分的算术平均值。</w:t>
      </w:r>
    </w:p>
    <w:p>
      <w:pPr>
        <w:spacing w:line="560" w:lineRule="exact"/>
        <w:ind w:firstLine="562" w:firstLineChars="200"/>
        <w:rPr>
          <w:rFonts w:ascii="仿宋_GB2312" w:hAnsi="宋体" w:eastAsia="仿宋_GB2312"/>
          <w:b/>
          <w:color w:val="auto"/>
          <w:sz w:val="28"/>
          <w:szCs w:val="28"/>
        </w:rPr>
      </w:pPr>
      <w:r>
        <w:rPr>
          <w:rFonts w:hint="eastAsia" w:ascii="仿宋_GB2312" w:hAnsi="宋体" w:eastAsia="仿宋_GB2312"/>
          <w:b/>
          <w:color w:val="auto"/>
          <w:sz w:val="28"/>
          <w:szCs w:val="28"/>
        </w:rPr>
        <w:t>2.2.5 非实质性偏离</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非实质性偏离是指投标文件在实质上响应招标文件的要求，但在个别地方存在一些不规则、不一致、不完整的内容，并且澄清、说明或者补正这些内容不会改变投标文件的实质性内容。以下情况属于非实质性偏离：</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（1）文字表述的内容含义不明确；</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（2）同类问题表述不一致；</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（3）有明显文字和计算错误；</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（4）提供的技术信息和数据资料不完整；</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（5）投标文件应盖章签字的地方，不超过3处只有签字或盖章（授权委托书、投标函除外）；</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（6）投标文件未按招标文件要求进行装订或未编制目录、页码；</w:t>
      </w:r>
    </w:p>
    <w:p>
      <w:pPr>
        <w:spacing w:line="560" w:lineRule="exact"/>
        <w:ind w:firstLine="560" w:firstLineChars="200"/>
        <w:rPr>
          <w:color w:val="auto"/>
        </w:rPr>
      </w:pPr>
      <w:r>
        <w:rPr>
          <w:rFonts w:hint="eastAsia" w:ascii="仿宋_GB2312" w:hAnsi="宋体" w:eastAsia="仿宋_GB2312"/>
          <w:color w:val="auto"/>
          <w:sz w:val="28"/>
          <w:szCs w:val="28"/>
        </w:rPr>
        <w:t>（7）招标文件中未标记“★”的条款或内容；</w:t>
      </w:r>
      <w:r>
        <w:rPr>
          <w:rFonts w:hint="eastAsia"/>
          <w:color w:val="auto"/>
        </w:rPr>
        <w:t xml:space="preserve">    </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（8）评标委员会认定的其他非实质性偏离。</w:t>
      </w:r>
    </w:p>
    <w:p>
      <w:pPr>
        <w:tabs>
          <w:tab w:val="left" w:pos="7665"/>
        </w:tabs>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投标文件有上述（1）至（4）情形之一的，评标委员会应当书面要求投标人在规定的时间内予以澄清、说明或补正。投标人拒不或在规定的时间内没有进行澄清、说明或补正或澄清、说明、补正的内容也不能说明问题的，视为投标文件制作不规范，按每</w:t>
      </w:r>
      <w:r>
        <w:rPr>
          <w:rFonts w:hint="eastAsia" w:ascii="仿宋_GB2312" w:hAnsi="宋体" w:eastAsia="仿宋_GB2312"/>
          <w:color w:val="auto"/>
          <w:sz w:val="28"/>
          <w:szCs w:val="28"/>
          <w:lang w:val="en-US" w:eastAsia="zh-CN"/>
        </w:rPr>
        <w:t>有1</w:t>
      </w:r>
      <w:r>
        <w:rPr>
          <w:rFonts w:hint="eastAsia" w:ascii="仿宋_GB2312" w:hAnsi="宋体" w:eastAsia="仿宋_GB2312"/>
          <w:color w:val="auto"/>
          <w:sz w:val="28"/>
          <w:szCs w:val="28"/>
        </w:rPr>
        <w:t>项非实质性偏离扣1分处理，若非实质性偏离项数超过投标人须知前附表规定的非实质性偏离项数（10项），该投标人的投标文件按无效处理。</w:t>
      </w:r>
    </w:p>
    <w:p>
      <w:pPr>
        <w:tabs>
          <w:tab w:val="left" w:pos="7665"/>
        </w:tabs>
        <w:spacing w:line="500" w:lineRule="exact"/>
        <w:ind w:firstLine="560" w:firstLineChars="200"/>
        <w:rPr>
          <w:rFonts w:ascii="仿宋_GB2312" w:eastAsia="仿宋_GB2312"/>
          <w:b/>
          <w:color w:val="auto"/>
          <w:sz w:val="28"/>
          <w:szCs w:val="28"/>
        </w:rPr>
      </w:pPr>
      <w:r>
        <w:rPr>
          <w:rFonts w:hint="eastAsia" w:ascii="仿宋_GB2312" w:hAnsi="宋体" w:eastAsia="仿宋_GB2312"/>
          <w:color w:val="auto"/>
          <w:sz w:val="28"/>
          <w:szCs w:val="28"/>
        </w:rPr>
        <w:t xml:space="preserve"> </w:t>
      </w:r>
      <w:r>
        <w:rPr>
          <w:rFonts w:hint="eastAsia" w:ascii="仿宋_GB2312" w:hAnsi="宋体" w:eastAsia="仿宋_GB2312"/>
          <w:b/>
          <w:color w:val="auto"/>
          <w:sz w:val="28"/>
          <w:szCs w:val="28"/>
        </w:rPr>
        <w:t>2.2.6</w:t>
      </w:r>
      <w:r>
        <w:rPr>
          <w:rFonts w:hint="eastAsia" w:ascii="仿宋_GB2312" w:eastAsia="仿宋_GB2312"/>
          <w:b/>
          <w:color w:val="auto"/>
          <w:sz w:val="28"/>
          <w:szCs w:val="28"/>
        </w:rPr>
        <w:t>综合评分明细表</w:t>
      </w:r>
    </w:p>
    <w:tbl>
      <w:tblPr>
        <w:tblStyle w:val="2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223"/>
        <w:gridCol w:w="851"/>
        <w:gridCol w:w="538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blHeader/>
        </w:trPr>
        <w:tc>
          <w:tcPr>
            <w:tcW w:w="728" w:type="dxa"/>
            <w:vAlign w:val="center"/>
          </w:tcPr>
          <w:p>
            <w:pPr>
              <w:pStyle w:val="13"/>
              <w:tabs>
                <w:tab w:val="left" w:pos="600"/>
              </w:tabs>
              <w:spacing w:after="0" w:line="460" w:lineRule="exact"/>
              <w:ind w:left="0" w:leftChars="0"/>
              <w:jc w:val="center"/>
              <w:rPr>
                <w:rFonts w:ascii="仿宋_GB2312" w:hAnsi="宋体" w:eastAsia="仿宋_GB2312"/>
                <w:b/>
                <w:color w:val="auto"/>
                <w:sz w:val="24"/>
              </w:rPr>
            </w:pPr>
            <w:r>
              <w:rPr>
                <w:rFonts w:hint="eastAsia" w:ascii="仿宋_GB2312" w:hAnsi="宋体" w:eastAsia="仿宋_GB2312"/>
                <w:b/>
                <w:color w:val="auto"/>
                <w:sz w:val="24"/>
              </w:rPr>
              <w:t>序号</w:t>
            </w:r>
          </w:p>
        </w:tc>
        <w:tc>
          <w:tcPr>
            <w:tcW w:w="1223" w:type="dxa"/>
            <w:vAlign w:val="center"/>
          </w:tcPr>
          <w:p>
            <w:pPr>
              <w:pStyle w:val="13"/>
              <w:tabs>
                <w:tab w:val="left" w:pos="600"/>
              </w:tabs>
              <w:spacing w:after="0" w:line="460" w:lineRule="exact"/>
              <w:ind w:left="0" w:leftChars="0"/>
              <w:jc w:val="center"/>
              <w:rPr>
                <w:rFonts w:ascii="仿宋_GB2312" w:hAnsi="宋体" w:eastAsia="仿宋_GB2312"/>
                <w:b/>
                <w:color w:val="auto"/>
                <w:sz w:val="24"/>
              </w:rPr>
            </w:pPr>
            <w:r>
              <w:rPr>
                <w:rFonts w:hint="eastAsia" w:ascii="仿宋_GB2312" w:hAnsi="宋体" w:eastAsia="仿宋_GB2312"/>
                <w:b/>
                <w:color w:val="auto"/>
                <w:sz w:val="24"/>
              </w:rPr>
              <w:t>评审因素</w:t>
            </w:r>
          </w:p>
        </w:tc>
        <w:tc>
          <w:tcPr>
            <w:tcW w:w="851" w:type="dxa"/>
            <w:vAlign w:val="center"/>
          </w:tcPr>
          <w:p>
            <w:pPr>
              <w:pStyle w:val="13"/>
              <w:tabs>
                <w:tab w:val="left" w:pos="600"/>
              </w:tabs>
              <w:spacing w:after="0" w:line="460" w:lineRule="exact"/>
              <w:ind w:left="0" w:leftChars="0"/>
              <w:jc w:val="center"/>
              <w:rPr>
                <w:rFonts w:ascii="仿宋_GB2312" w:hAnsi="宋体" w:eastAsia="仿宋_GB2312"/>
                <w:b/>
                <w:color w:val="auto"/>
                <w:sz w:val="24"/>
              </w:rPr>
            </w:pPr>
            <w:r>
              <w:rPr>
                <w:rFonts w:hint="eastAsia" w:ascii="仿宋_GB2312" w:hAnsi="宋体" w:eastAsia="仿宋_GB2312"/>
                <w:b/>
                <w:color w:val="auto"/>
                <w:sz w:val="24"/>
              </w:rPr>
              <w:t>分值</w:t>
            </w:r>
          </w:p>
        </w:tc>
        <w:tc>
          <w:tcPr>
            <w:tcW w:w="5386" w:type="dxa"/>
            <w:vAlign w:val="center"/>
          </w:tcPr>
          <w:p>
            <w:pPr>
              <w:pStyle w:val="13"/>
              <w:tabs>
                <w:tab w:val="left" w:pos="600"/>
              </w:tabs>
              <w:spacing w:after="0" w:line="460" w:lineRule="exact"/>
              <w:ind w:left="0" w:leftChars="0"/>
              <w:jc w:val="center"/>
              <w:rPr>
                <w:rFonts w:ascii="仿宋_GB2312" w:hAnsi="宋体" w:eastAsia="仿宋_GB2312"/>
                <w:b/>
                <w:color w:val="auto"/>
                <w:sz w:val="24"/>
              </w:rPr>
            </w:pPr>
            <w:r>
              <w:rPr>
                <w:rFonts w:hint="eastAsia" w:ascii="仿宋_GB2312" w:hAnsi="宋体" w:eastAsia="仿宋_GB2312"/>
                <w:b/>
                <w:color w:val="auto"/>
                <w:sz w:val="24"/>
              </w:rPr>
              <w:t>评审标准</w:t>
            </w:r>
          </w:p>
        </w:tc>
        <w:tc>
          <w:tcPr>
            <w:tcW w:w="1701" w:type="dxa"/>
            <w:vAlign w:val="center"/>
          </w:tcPr>
          <w:p>
            <w:pPr>
              <w:pStyle w:val="13"/>
              <w:tabs>
                <w:tab w:val="left" w:pos="600"/>
              </w:tabs>
              <w:spacing w:after="0" w:line="460" w:lineRule="exact"/>
              <w:ind w:left="0" w:leftChars="0"/>
              <w:jc w:val="center"/>
              <w:rPr>
                <w:rFonts w:ascii="仿宋_GB2312" w:hAnsi="宋体" w:eastAsia="仿宋_GB2312"/>
                <w:b/>
                <w:color w:val="auto"/>
                <w:sz w:val="24"/>
              </w:rPr>
            </w:pPr>
            <w:r>
              <w:rPr>
                <w:rFonts w:hint="eastAsia" w:ascii="仿宋_GB2312" w:hAnsi="宋体" w:eastAsia="仿宋_GB2312"/>
                <w:b/>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28" w:type="dxa"/>
            <w:vAlign w:val="center"/>
          </w:tcPr>
          <w:p>
            <w:pPr>
              <w:pStyle w:val="13"/>
              <w:tabs>
                <w:tab w:val="left" w:pos="600"/>
              </w:tabs>
              <w:spacing w:after="0" w:line="460" w:lineRule="exact"/>
              <w:ind w:left="0" w:leftChars="0"/>
              <w:jc w:val="center"/>
              <w:rPr>
                <w:rFonts w:ascii="仿宋_GB2312" w:hAnsi="宋体" w:eastAsia="仿宋_GB2312"/>
                <w:color w:val="auto"/>
                <w:sz w:val="24"/>
              </w:rPr>
            </w:pPr>
            <w:r>
              <w:rPr>
                <w:rFonts w:hint="eastAsia" w:ascii="仿宋_GB2312" w:hAnsi="宋体" w:eastAsia="仿宋_GB2312"/>
                <w:color w:val="auto"/>
                <w:sz w:val="24"/>
              </w:rPr>
              <w:t>1</w:t>
            </w:r>
          </w:p>
        </w:tc>
        <w:tc>
          <w:tcPr>
            <w:tcW w:w="1223" w:type="dxa"/>
            <w:vAlign w:val="center"/>
          </w:tcPr>
          <w:p>
            <w:pPr>
              <w:pStyle w:val="13"/>
              <w:tabs>
                <w:tab w:val="left" w:pos="600"/>
              </w:tabs>
              <w:spacing w:after="0" w:line="460" w:lineRule="exact"/>
              <w:ind w:left="0" w:leftChars="0"/>
              <w:jc w:val="center"/>
              <w:rPr>
                <w:rFonts w:ascii="仿宋_GB2312" w:hAnsi="宋体" w:eastAsia="仿宋_GB2312"/>
                <w:b/>
                <w:color w:val="auto"/>
                <w:sz w:val="24"/>
              </w:rPr>
            </w:pPr>
            <w:r>
              <w:rPr>
                <w:rFonts w:hint="eastAsia" w:ascii="仿宋_GB2312" w:hAnsi="宋体" w:eastAsia="仿宋_GB2312"/>
                <w:b/>
                <w:color w:val="auto"/>
                <w:sz w:val="24"/>
              </w:rPr>
              <w:t>投标报价</w:t>
            </w:r>
          </w:p>
          <w:p>
            <w:pPr>
              <w:pStyle w:val="13"/>
              <w:tabs>
                <w:tab w:val="left" w:pos="600"/>
              </w:tabs>
              <w:spacing w:after="0" w:line="460" w:lineRule="exact"/>
              <w:ind w:left="0" w:leftChars="0"/>
              <w:jc w:val="center"/>
              <w:rPr>
                <w:rFonts w:ascii="仿宋_GB2312" w:hAnsi="宋体" w:eastAsia="仿宋_GB2312"/>
                <w:b/>
                <w:color w:val="auto"/>
                <w:sz w:val="24"/>
              </w:rPr>
            </w:pPr>
            <w:r>
              <w:rPr>
                <w:rFonts w:hint="eastAsia" w:ascii="仿宋_GB2312" w:hAnsi="宋体" w:eastAsia="仿宋_GB2312"/>
                <w:b/>
                <w:color w:val="auto"/>
                <w:sz w:val="24"/>
              </w:rPr>
              <w:t>（30分）</w:t>
            </w:r>
          </w:p>
        </w:tc>
        <w:tc>
          <w:tcPr>
            <w:tcW w:w="851" w:type="dxa"/>
            <w:vAlign w:val="center"/>
          </w:tcPr>
          <w:p>
            <w:pPr>
              <w:pStyle w:val="13"/>
              <w:tabs>
                <w:tab w:val="left" w:pos="600"/>
              </w:tabs>
              <w:spacing w:after="0" w:line="460" w:lineRule="exact"/>
              <w:ind w:left="0" w:leftChars="0"/>
              <w:jc w:val="center"/>
              <w:rPr>
                <w:rFonts w:ascii="仿宋_GB2312" w:hAnsi="宋体" w:eastAsia="仿宋_GB2312"/>
                <w:b/>
                <w:color w:val="auto"/>
                <w:sz w:val="24"/>
              </w:rPr>
            </w:pPr>
            <w:r>
              <w:rPr>
                <w:rFonts w:hint="eastAsia" w:ascii="仿宋_GB2312" w:hAnsi="宋体" w:eastAsia="仿宋_GB2312"/>
                <w:b/>
                <w:color w:val="auto"/>
                <w:sz w:val="24"/>
              </w:rPr>
              <w:t>30分</w:t>
            </w:r>
          </w:p>
        </w:tc>
        <w:tc>
          <w:tcPr>
            <w:tcW w:w="5386" w:type="dxa"/>
            <w:vAlign w:val="center"/>
          </w:tcPr>
          <w:p>
            <w:pPr>
              <w:pStyle w:val="13"/>
              <w:tabs>
                <w:tab w:val="left" w:pos="600"/>
              </w:tabs>
              <w:spacing w:after="0" w:line="460" w:lineRule="exact"/>
              <w:ind w:left="0" w:leftChars="0"/>
              <w:rPr>
                <w:rFonts w:ascii="仿宋_GB2312" w:hAnsi="宋体" w:eastAsia="仿宋_GB2312"/>
                <w:color w:val="auto"/>
                <w:sz w:val="24"/>
              </w:rPr>
            </w:pPr>
            <w:r>
              <w:rPr>
                <w:rFonts w:hint="eastAsia" w:ascii="仿宋_GB2312" w:hAnsi="宋体" w:eastAsia="仿宋_GB2312"/>
                <w:color w:val="auto"/>
                <w:sz w:val="24"/>
              </w:rPr>
              <w:t>按本章第2.2.2条款规定进行评审</w:t>
            </w:r>
          </w:p>
        </w:tc>
        <w:tc>
          <w:tcPr>
            <w:tcW w:w="1701" w:type="dxa"/>
            <w:vAlign w:val="center"/>
          </w:tcPr>
          <w:p>
            <w:pPr>
              <w:pStyle w:val="13"/>
              <w:tabs>
                <w:tab w:val="left" w:pos="600"/>
              </w:tabs>
              <w:spacing w:after="0" w:line="460" w:lineRule="exact"/>
              <w:ind w:left="42" w:leftChars="2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728" w:type="dxa"/>
            <w:vMerge w:val="restart"/>
            <w:vAlign w:val="center"/>
          </w:tcPr>
          <w:p>
            <w:pPr>
              <w:pStyle w:val="13"/>
              <w:tabs>
                <w:tab w:val="left" w:pos="600"/>
              </w:tabs>
              <w:spacing w:after="0" w:line="460" w:lineRule="exact"/>
              <w:ind w:left="0" w:leftChars="0"/>
              <w:jc w:val="center"/>
              <w:rPr>
                <w:rFonts w:ascii="仿宋_GB2312" w:hAnsi="宋体" w:eastAsia="仿宋_GB2312"/>
                <w:color w:val="auto"/>
                <w:sz w:val="24"/>
              </w:rPr>
            </w:pPr>
            <w:r>
              <w:rPr>
                <w:rFonts w:hint="eastAsia" w:ascii="仿宋_GB2312" w:hAnsi="宋体" w:eastAsia="仿宋_GB2312"/>
                <w:color w:val="auto"/>
                <w:sz w:val="24"/>
              </w:rPr>
              <w:t>2</w:t>
            </w:r>
          </w:p>
        </w:tc>
        <w:tc>
          <w:tcPr>
            <w:tcW w:w="1223" w:type="dxa"/>
            <w:vMerge w:val="restart"/>
            <w:vAlign w:val="center"/>
          </w:tcPr>
          <w:p>
            <w:pPr>
              <w:pStyle w:val="13"/>
              <w:tabs>
                <w:tab w:val="left" w:pos="600"/>
              </w:tabs>
              <w:spacing w:after="0" w:line="460" w:lineRule="exact"/>
              <w:ind w:left="0" w:leftChars="0"/>
              <w:jc w:val="center"/>
              <w:rPr>
                <w:rFonts w:ascii="仿宋_GB2312" w:hAnsi="宋体" w:eastAsia="仿宋_GB2312"/>
                <w:b/>
                <w:color w:val="auto"/>
                <w:sz w:val="24"/>
              </w:rPr>
            </w:pPr>
            <w:r>
              <w:rPr>
                <w:rFonts w:hint="eastAsia" w:ascii="仿宋_GB2312" w:hAnsi="宋体" w:eastAsia="仿宋_GB2312"/>
                <w:b/>
                <w:color w:val="auto"/>
                <w:sz w:val="24"/>
              </w:rPr>
              <w:t>技术</w:t>
            </w:r>
          </w:p>
          <w:p>
            <w:pPr>
              <w:pStyle w:val="13"/>
              <w:tabs>
                <w:tab w:val="left" w:pos="600"/>
              </w:tabs>
              <w:spacing w:after="0" w:line="460" w:lineRule="exact"/>
              <w:ind w:left="0" w:leftChars="0"/>
              <w:jc w:val="center"/>
              <w:rPr>
                <w:rFonts w:ascii="仿宋_GB2312" w:hAnsi="宋体" w:eastAsia="仿宋_GB2312"/>
                <w:b/>
                <w:color w:val="auto"/>
                <w:sz w:val="24"/>
              </w:rPr>
            </w:pPr>
            <w:r>
              <w:rPr>
                <w:rFonts w:hint="eastAsia" w:ascii="仿宋_GB2312" w:hAnsi="宋体" w:eastAsia="仿宋_GB2312"/>
                <w:b/>
                <w:color w:val="auto"/>
                <w:sz w:val="24"/>
              </w:rPr>
              <w:t>（65分）</w:t>
            </w:r>
          </w:p>
        </w:tc>
        <w:tc>
          <w:tcPr>
            <w:tcW w:w="851" w:type="dxa"/>
            <w:vAlign w:val="center"/>
          </w:tcPr>
          <w:p>
            <w:pPr>
              <w:pStyle w:val="23"/>
              <w:spacing w:before="0" w:beforeAutospacing="0" w:after="0" w:afterAutospacing="0" w:line="460" w:lineRule="exact"/>
              <w:jc w:val="center"/>
              <w:rPr>
                <w:rFonts w:ascii="仿宋_GB2312" w:eastAsia="仿宋_GB2312" w:cs="宋体"/>
                <w:b/>
                <w:bCs/>
                <w:color w:val="auto"/>
              </w:rPr>
            </w:pPr>
            <w:r>
              <w:rPr>
                <w:rFonts w:hint="eastAsia" w:ascii="仿宋_GB2312" w:eastAsia="仿宋_GB2312" w:cs="宋体"/>
                <w:b/>
                <w:bCs/>
                <w:color w:val="auto"/>
              </w:rPr>
              <w:t>技术参数及配置</w:t>
            </w:r>
          </w:p>
          <w:p>
            <w:pPr>
              <w:pStyle w:val="13"/>
              <w:tabs>
                <w:tab w:val="left" w:pos="600"/>
              </w:tabs>
              <w:spacing w:after="0" w:line="460" w:lineRule="exact"/>
              <w:ind w:left="0" w:leftChars="0"/>
              <w:jc w:val="center"/>
              <w:rPr>
                <w:rFonts w:ascii="仿宋_GB2312" w:hAnsi="宋体" w:eastAsia="仿宋_GB2312"/>
                <w:color w:val="auto"/>
                <w:sz w:val="24"/>
              </w:rPr>
            </w:pPr>
            <w:r>
              <w:rPr>
                <w:rFonts w:hint="eastAsia" w:ascii="仿宋_GB2312" w:eastAsia="仿宋_GB2312" w:cs="宋体"/>
                <w:b/>
                <w:bCs/>
                <w:color w:val="auto"/>
                <w:sz w:val="24"/>
              </w:rPr>
              <w:t>20分</w:t>
            </w:r>
          </w:p>
        </w:tc>
        <w:tc>
          <w:tcPr>
            <w:tcW w:w="5386" w:type="dxa"/>
            <w:vAlign w:val="center"/>
          </w:tcPr>
          <w:p>
            <w:pPr>
              <w:pStyle w:val="23"/>
              <w:spacing w:before="0" w:beforeAutospacing="0" w:after="0" w:afterAutospacing="0" w:line="460" w:lineRule="exact"/>
              <w:jc w:val="both"/>
              <w:rPr>
                <w:rFonts w:ascii="仿宋_GB2312" w:eastAsia="仿宋_GB2312" w:cs="宋体"/>
                <w:color w:val="auto"/>
              </w:rPr>
            </w:pPr>
            <w:r>
              <w:rPr>
                <w:rFonts w:hint="eastAsia" w:ascii="仿宋_GB2312" w:eastAsia="仿宋_GB2312" w:cs="宋体"/>
                <w:color w:val="auto"/>
              </w:rPr>
              <w:t>（1）技术参数和配置完全满足或高于招标文件要求的，得基本分10分；</w:t>
            </w:r>
          </w:p>
          <w:p>
            <w:pPr>
              <w:pStyle w:val="23"/>
              <w:spacing w:before="0" w:beforeAutospacing="0" w:after="0" w:afterAutospacing="0" w:line="460" w:lineRule="exact"/>
              <w:jc w:val="both"/>
              <w:rPr>
                <w:rFonts w:ascii="仿宋_GB2312" w:eastAsia="仿宋_GB2312" w:cs="宋体"/>
                <w:color w:val="auto"/>
              </w:rPr>
            </w:pPr>
            <w:r>
              <w:rPr>
                <w:rFonts w:hint="eastAsia" w:ascii="仿宋_GB2312" w:eastAsia="仿宋_GB2312" w:cs="宋体"/>
                <w:color w:val="auto"/>
              </w:rPr>
              <w:t>（2）技术参数和配置高于招标文件要求的，视其高于程度和适用性等综合评审，在得基本分的基础上给与0</w:t>
            </w:r>
            <w:r>
              <w:rPr>
                <w:rFonts w:hint="eastAsia" w:ascii="楷体" w:hAnsi="楷体" w:eastAsia="楷体" w:cs="宋体"/>
                <w:color w:val="auto"/>
              </w:rPr>
              <w:t>~</w:t>
            </w:r>
            <w:r>
              <w:rPr>
                <w:rFonts w:hint="eastAsia" w:ascii="仿宋_GB2312" w:eastAsia="仿宋_GB2312" w:cs="宋体"/>
                <w:color w:val="auto"/>
              </w:rPr>
              <w:t>10分的加分；</w:t>
            </w:r>
          </w:p>
          <w:p>
            <w:pPr>
              <w:pStyle w:val="23"/>
              <w:spacing w:before="0" w:beforeAutospacing="0" w:after="0" w:afterAutospacing="0" w:line="460" w:lineRule="exact"/>
              <w:jc w:val="both"/>
              <w:rPr>
                <w:rFonts w:hint="eastAsia" w:ascii="仿宋_GB2312" w:eastAsia="仿宋_GB2312"/>
                <w:color w:val="auto"/>
                <w:lang w:eastAsia="zh-CN"/>
              </w:rPr>
            </w:pPr>
            <w:r>
              <w:rPr>
                <w:rFonts w:hint="eastAsia" w:ascii="仿宋_GB2312" w:eastAsia="仿宋_GB2312"/>
                <w:color w:val="auto"/>
              </w:rPr>
              <w:t>（3）</w:t>
            </w:r>
            <w:r>
              <w:rPr>
                <w:rFonts w:hint="eastAsia" w:ascii="仿宋_GB2312" w:eastAsia="仿宋_GB2312" w:cs="宋体"/>
                <w:color w:val="auto"/>
              </w:rPr>
              <w:t>若有不完全满足或低于招标文件要求的负偏离情形</w:t>
            </w:r>
            <w:r>
              <w:rPr>
                <w:rFonts w:hint="eastAsia" w:ascii="仿宋_GB2312" w:eastAsia="仿宋_GB2312" w:cs="宋体"/>
                <w:color w:val="auto"/>
                <w:lang w:val="en-US" w:eastAsia="zh-CN"/>
              </w:rPr>
              <w:t>或经评标委员会认定为负偏离情形的</w:t>
            </w:r>
            <w:r>
              <w:rPr>
                <w:rFonts w:hint="eastAsia" w:ascii="仿宋_GB2312" w:eastAsia="仿宋_GB2312" w:cs="宋体"/>
                <w:color w:val="auto"/>
              </w:rPr>
              <w:t>，</w:t>
            </w:r>
            <w:r>
              <w:rPr>
                <w:rFonts w:hint="eastAsia" w:ascii="仿宋_GB2312" w:eastAsia="仿宋_GB2312" w:cs="宋体"/>
                <w:color w:val="auto"/>
                <w:lang w:val="en-US" w:eastAsia="zh-CN"/>
              </w:rPr>
              <w:t>均</w:t>
            </w:r>
            <w:r>
              <w:rPr>
                <w:rFonts w:hint="eastAsia" w:ascii="仿宋_GB2312" w:eastAsia="仿宋_GB2312" w:cs="宋体"/>
                <w:color w:val="auto"/>
              </w:rPr>
              <w:t>按</w:t>
            </w:r>
            <w:r>
              <w:rPr>
                <w:rFonts w:hint="eastAsia" w:ascii="仿宋_GB2312" w:eastAsia="仿宋_GB2312"/>
                <w:color w:val="auto"/>
              </w:rPr>
              <w:t>非实质性</w:t>
            </w:r>
            <w:r>
              <w:rPr>
                <w:rFonts w:hint="eastAsia" w:ascii="仿宋_GB2312" w:eastAsia="仿宋_GB2312"/>
                <w:color w:val="auto"/>
                <w:lang w:val="en-US" w:eastAsia="zh-CN"/>
              </w:rPr>
              <w:t>偏离</w:t>
            </w:r>
            <w:r>
              <w:rPr>
                <w:rFonts w:hint="eastAsia" w:ascii="仿宋_GB2312" w:eastAsia="仿宋_GB2312"/>
                <w:color w:val="auto"/>
              </w:rPr>
              <w:t>处理，每有1项扣1分，</w:t>
            </w:r>
            <w:r>
              <w:rPr>
                <w:rFonts w:hint="eastAsia" w:ascii="仿宋_GB2312" w:eastAsia="仿宋_GB2312"/>
                <w:color w:val="auto"/>
                <w:lang w:val="en-US" w:eastAsia="zh-CN"/>
              </w:rPr>
              <w:t>若</w:t>
            </w:r>
            <w:r>
              <w:rPr>
                <w:rFonts w:hint="eastAsia" w:ascii="仿宋_GB2312" w:eastAsia="仿宋_GB2312"/>
                <w:color w:val="auto"/>
              </w:rPr>
              <w:t>非实质性</w:t>
            </w:r>
            <w:r>
              <w:rPr>
                <w:rFonts w:hint="eastAsia" w:ascii="仿宋_GB2312" w:eastAsia="仿宋_GB2312"/>
                <w:color w:val="auto"/>
                <w:lang w:val="en-US" w:eastAsia="zh-CN"/>
              </w:rPr>
              <w:t>偏离项数</w:t>
            </w:r>
            <w:r>
              <w:rPr>
                <w:rFonts w:hint="eastAsia" w:ascii="仿宋_GB2312" w:eastAsia="仿宋_GB2312"/>
                <w:color w:val="auto"/>
              </w:rPr>
              <w:t>超过投标人须知前附表规定的非实质性偏离项数（</w:t>
            </w:r>
            <w:r>
              <w:rPr>
                <w:rFonts w:hint="eastAsia" w:ascii="仿宋_GB2312" w:eastAsia="仿宋_GB2312"/>
                <w:color w:val="auto"/>
                <w:lang w:val="en-US" w:eastAsia="zh-CN"/>
              </w:rPr>
              <w:t>10</w:t>
            </w:r>
            <w:r>
              <w:rPr>
                <w:rFonts w:hint="eastAsia" w:ascii="仿宋_GB2312" w:eastAsia="仿宋_GB2312"/>
                <w:color w:val="auto"/>
              </w:rPr>
              <w:t>项），</w:t>
            </w:r>
            <w:r>
              <w:rPr>
                <w:rFonts w:hint="eastAsia" w:ascii="仿宋_GB2312" w:eastAsia="仿宋_GB2312"/>
                <w:color w:val="auto"/>
                <w:lang w:val="en-US" w:eastAsia="zh-CN"/>
              </w:rPr>
              <w:t>该投标人的投标文件</w:t>
            </w:r>
            <w:r>
              <w:rPr>
                <w:rFonts w:hint="eastAsia" w:ascii="仿宋_GB2312" w:eastAsia="仿宋_GB2312"/>
                <w:color w:val="auto"/>
              </w:rPr>
              <w:t>按无效处理</w:t>
            </w:r>
            <w:r>
              <w:rPr>
                <w:rFonts w:hint="eastAsia" w:ascii="仿宋_GB2312" w:eastAsia="仿宋_GB2312"/>
                <w:color w:val="auto"/>
                <w:lang w:eastAsia="zh-CN"/>
              </w:rPr>
              <w:t>。</w:t>
            </w:r>
          </w:p>
        </w:tc>
        <w:tc>
          <w:tcPr>
            <w:tcW w:w="1701" w:type="dxa"/>
            <w:vAlign w:val="center"/>
          </w:tcPr>
          <w:p>
            <w:pPr>
              <w:pStyle w:val="13"/>
              <w:tabs>
                <w:tab w:val="left" w:pos="600"/>
              </w:tabs>
              <w:spacing w:after="0" w:line="460" w:lineRule="exact"/>
              <w:ind w:left="42" w:leftChars="2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728" w:type="dxa"/>
            <w:vMerge w:val="continue"/>
            <w:vAlign w:val="center"/>
          </w:tcPr>
          <w:p>
            <w:pPr>
              <w:pStyle w:val="13"/>
              <w:tabs>
                <w:tab w:val="left" w:pos="600"/>
              </w:tabs>
              <w:spacing w:after="0" w:line="460" w:lineRule="exact"/>
              <w:ind w:left="0" w:leftChars="0"/>
              <w:jc w:val="center"/>
              <w:rPr>
                <w:rFonts w:ascii="仿宋_GB2312" w:hAnsi="宋体" w:eastAsia="仿宋_GB2312"/>
                <w:color w:val="auto"/>
                <w:sz w:val="24"/>
              </w:rPr>
            </w:pPr>
          </w:p>
        </w:tc>
        <w:tc>
          <w:tcPr>
            <w:tcW w:w="1223" w:type="dxa"/>
            <w:vMerge w:val="continue"/>
            <w:vAlign w:val="center"/>
          </w:tcPr>
          <w:p>
            <w:pPr>
              <w:pStyle w:val="13"/>
              <w:tabs>
                <w:tab w:val="left" w:pos="600"/>
              </w:tabs>
              <w:spacing w:after="0" w:line="460" w:lineRule="exact"/>
              <w:ind w:left="0" w:leftChars="0"/>
              <w:jc w:val="center"/>
              <w:rPr>
                <w:rFonts w:ascii="仿宋_GB2312" w:hAnsi="宋体" w:eastAsia="仿宋_GB2312"/>
                <w:b/>
                <w:color w:val="auto"/>
                <w:sz w:val="24"/>
              </w:rPr>
            </w:pPr>
          </w:p>
        </w:tc>
        <w:tc>
          <w:tcPr>
            <w:tcW w:w="851" w:type="dxa"/>
            <w:vAlign w:val="center"/>
          </w:tcPr>
          <w:p>
            <w:pPr>
              <w:pStyle w:val="23"/>
              <w:spacing w:before="0" w:beforeAutospacing="0" w:after="0" w:afterAutospacing="0" w:line="460" w:lineRule="exact"/>
              <w:jc w:val="center"/>
              <w:rPr>
                <w:rFonts w:ascii="仿宋_GB2312" w:eastAsia="仿宋_GB2312" w:cs="宋体"/>
                <w:b/>
                <w:bCs/>
                <w:color w:val="auto"/>
              </w:rPr>
            </w:pPr>
            <w:r>
              <w:rPr>
                <w:rFonts w:hint="eastAsia" w:ascii="仿宋_GB2312" w:eastAsia="仿宋_GB2312" w:cs="宋体"/>
                <w:b/>
                <w:bCs/>
                <w:color w:val="auto"/>
              </w:rPr>
              <w:t>投标产品质量保证</w:t>
            </w:r>
          </w:p>
          <w:p>
            <w:pPr>
              <w:pStyle w:val="13"/>
              <w:tabs>
                <w:tab w:val="left" w:pos="600"/>
              </w:tabs>
              <w:spacing w:after="0" w:line="460" w:lineRule="exact"/>
              <w:ind w:left="0" w:leftChars="0"/>
              <w:rPr>
                <w:rFonts w:ascii="仿宋_GB2312" w:hAnsi="宋体" w:eastAsia="仿宋_GB2312"/>
                <w:color w:val="auto"/>
                <w:sz w:val="24"/>
              </w:rPr>
            </w:pPr>
            <w:r>
              <w:rPr>
                <w:rFonts w:hint="eastAsia" w:ascii="仿宋_GB2312" w:eastAsia="仿宋_GB2312" w:cs="宋体"/>
                <w:b/>
                <w:bCs/>
                <w:color w:val="auto"/>
                <w:sz w:val="24"/>
                <w:lang w:val="en-US" w:eastAsia="zh-CN"/>
              </w:rPr>
              <w:t>28</w:t>
            </w:r>
            <w:r>
              <w:rPr>
                <w:rFonts w:hint="eastAsia" w:ascii="仿宋_GB2312" w:eastAsia="仿宋_GB2312" w:cs="宋体"/>
                <w:b/>
                <w:bCs/>
                <w:color w:val="auto"/>
                <w:sz w:val="24"/>
              </w:rPr>
              <w:t>分</w:t>
            </w:r>
          </w:p>
        </w:tc>
        <w:tc>
          <w:tcPr>
            <w:tcW w:w="5386" w:type="dxa"/>
            <w:vAlign w:val="center"/>
          </w:tcPr>
          <w:p>
            <w:pPr>
              <w:pStyle w:val="23"/>
              <w:spacing w:before="0" w:beforeAutospacing="0" w:after="0" w:afterAutospacing="0" w:line="460" w:lineRule="exact"/>
              <w:rPr>
                <w:rFonts w:ascii="仿宋_GB2312" w:eastAsia="仿宋_GB2312"/>
                <w:color w:val="auto"/>
              </w:rPr>
            </w:pPr>
            <w:r>
              <w:rPr>
                <w:rFonts w:hint="eastAsia" w:ascii="仿宋_GB2312" w:eastAsia="仿宋_GB2312"/>
                <w:color w:val="auto"/>
              </w:rPr>
              <w:t>（1）货物来源渠道合法、质量安全可靠，整体配置具有合理性、一致性、兼容性，产品品牌、规格型号、技术参数、配置、产地等明确，根据响应程度得0</w:t>
            </w:r>
            <w:r>
              <w:rPr>
                <w:rFonts w:hint="eastAsia" w:ascii="楷体" w:hAnsi="楷体" w:eastAsia="楷体"/>
                <w:color w:val="auto"/>
              </w:rPr>
              <w:t>~</w:t>
            </w:r>
            <w:r>
              <w:rPr>
                <w:rFonts w:hint="eastAsia" w:ascii="仿宋_GB2312" w:eastAsia="仿宋_GB2312"/>
                <w:color w:val="auto"/>
              </w:rPr>
              <w:t>10分；</w:t>
            </w:r>
          </w:p>
          <w:p>
            <w:pPr>
              <w:pStyle w:val="23"/>
              <w:spacing w:before="0" w:beforeAutospacing="0" w:after="0" w:afterAutospacing="0" w:line="460" w:lineRule="exact"/>
              <w:rPr>
                <w:rFonts w:hint="eastAsia" w:ascii="仿宋_GB2312" w:eastAsia="仿宋_GB2312"/>
                <w:color w:val="auto"/>
              </w:rPr>
            </w:pPr>
            <w:r>
              <w:rPr>
                <w:rFonts w:hint="eastAsia" w:ascii="仿宋_GB2312" w:eastAsia="仿宋_GB2312"/>
                <w:color w:val="auto"/>
              </w:rPr>
              <w:t>（2）提供证明货物相关证明加盖</w:t>
            </w:r>
            <w:r>
              <w:rPr>
                <w:rFonts w:hint="eastAsia" w:ascii="仿宋_GB2312" w:eastAsia="仿宋_GB2312"/>
                <w:color w:val="auto"/>
                <w:lang w:val="en-US" w:eastAsia="zh-CN"/>
              </w:rPr>
              <w:t>投标人</w:t>
            </w:r>
            <w:r>
              <w:rPr>
                <w:rFonts w:hint="eastAsia" w:ascii="仿宋_GB2312" w:eastAsia="仿宋_GB2312"/>
                <w:color w:val="auto"/>
              </w:rPr>
              <w:t>公章复印件（包含但不限于制造商授权、国家权威机构出具的检测报告、认证证书及能够证明产质量的有效证明文件），根据响应程度得0</w:t>
            </w:r>
            <w:r>
              <w:rPr>
                <w:rFonts w:hint="eastAsia" w:ascii="楷体" w:hAnsi="楷体" w:eastAsia="楷体"/>
                <w:color w:val="auto"/>
              </w:rPr>
              <w:t>~</w:t>
            </w:r>
            <w:r>
              <w:rPr>
                <w:rFonts w:hint="eastAsia" w:ascii="仿宋_GB2312" w:eastAsia="仿宋_GB2312"/>
                <w:color w:val="auto"/>
              </w:rPr>
              <w:t>1</w:t>
            </w:r>
            <w:r>
              <w:rPr>
                <w:rFonts w:hint="eastAsia" w:ascii="仿宋_GB2312" w:eastAsia="仿宋_GB2312"/>
                <w:color w:val="auto"/>
                <w:lang w:val="en-US" w:eastAsia="zh-CN"/>
              </w:rPr>
              <w:t>3</w:t>
            </w:r>
            <w:r>
              <w:rPr>
                <w:rFonts w:hint="eastAsia" w:ascii="仿宋_GB2312" w:eastAsia="仿宋_GB2312"/>
                <w:color w:val="auto"/>
              </w:rPr>
              <w:t>分；</w:t>
            </w:r>
          </w:p>
          <w:p>
            <w:pPr>
              <w:pStyle w:val="23"/>
              <w:spacing w:before="0" w:beforeAutospacing="0" w:after="0" w:afterAutospacing="0" w:line="460" w:lineRule="exact"/>
              <w:rPr>
                <w:rFonts w:hint="default" w:ascii="仿宋_GB2312" w:eastAsia="仿宋_GB2312"/>
                <w:color w:val="auto"/>
                <w:lang w:val="en-US" w:eastAsia="zh-CN"/>
              </w:rPr>
            </w:pPr>
            <w:r>
              <w:rPr>
                <w:rFonts w:hint="eastAsia" w:ascii="仿宋_GB2312" w:eastAsia="仿宋_GB2312"/>
                <w:color w:val="auto"/>
                <w:lang w:val="en-US" w:eastAsia="zh-CN"/>
              </w:rPr>
              <w:t>提供未加盖投标人公章的证明文件复印件评审赋分时不予认可。</w:t>
            </w:r>
          </w:p>
          <w:p>
            <w:pPr>
              <w:pStyle w:val="23"/>
              <w:spacing w:before="0" w:beforeAutospacing="0" w:after="0" w:afterAutospacing="0" w:line="460" w:lineRule="exact"/>
              <w:rPr>
                <w:rFonts w:ascii="仿宋_GB2312" w:eastAsia="仿宋_GB2312"/>
                <w:color w:val="auto"/>
              </w:rPr>
            </w:pPr>
            <w:r>
              <w:rPr>
                <w:rFonts w:hint="eastAsia" w:ascii="仿宋_GB2312" w:eastAsia="仿宋_GB2312"/>
                <w:color w:val="auto"/>
              </w:rPr>
              <w:t>（</w:t>
            </w:r>
            <w:r>
              <w:rPr>
                <w:rFonts w:hint="eastAsia" w:ascii="仿宋_GB2312" w:eastAsia="仿宋_GB2312"/>
                <w:color w:val="auto"/>
                <w:lang w:val="en-US" w:eastAsia="zh-CN"/>
              </w:rPr>
              <w:t>3</w:t>
            </w:r>
            <w:r>
              <w:rPr>
                <w:rFonts w:hint="eastAsia" w:ascii="仿宋_GB2312" w:eastAsia="仿宋_GB2312"/>
                <w:color w:val="auto"/>
              </w:rPr>
              <w:t>）具有明确详细的安装、调试质量保证措施，且具有可行性和可操作性，根据响应程度得0~5分。</w:t>
            </w:r>
          </w:p>
        </w:tc>
        <w:tc>
          <w:tcPr>
            <w:tcW w:w="1701" w:type="dxa"/>
            <w:vAlign w:val="center"/>
          </w:tcPr>
          <w:p>
            <w:pPr>
              <w:pStyle w:val="13"/>
              <w:tabs>
                <w:tab w:val="left" w:pos="600"/>
              </w:tabs>
              <w:spacing w:after="0" w:line="460" w:lineRule="exact"/>
              <w:ind w:left="42" w:leftChars="2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728" w:type="dxa"/>
            <w:vMerge w:val="continue"/>
            <w:vAlign w:val="center"/>
          </w:tcPr>
          <w:p>
            <w:pPr>
              <w:pStyle w:val="13"/>
              <w:tabs>
                <w:tab w:val="left" w:pos="600"/>
              </w:tabs>
              <w:spacing w:after="0" w:line="460" w:lineRule="exact"/>
              <w:ind w:left="0" w:leftChars="0"/>
              <w:jc w:val="center"/>
              <w:rPr>
                <w:rFonts w:ascii="仿宋_GB2312" w:hAnsi="宋体" w:eastAsia="仿宋_GB2312"/>
                <w:color w:val="auto"/>
                <w:sz w:val="24"/>
              </w:rPr>
            </w:pPr>
          </w:p>
        </w:tc>
        <w:tc>
          <w:tcPr>
            <w:tcW w:w="1223" w:type="dxa"/>
            <w:vMerge w:val="continue"/>
            <w:vAlign w:val="center"/>
          </w:tcPr>
          <w:p>
            <w:pPr>
              <w:pStyle w:val="13"/>
              <w:tabs>
                <w:tab w:val="left" w:pos="600"/>
              </w:tabs>
              <w:spacing w:after="0" w:line="460" w:lineRule="exact"/>
              <w:ind w:left="0" w:leftChars="0"/>
              <w:jc w:val="center"/>
              <w:rPr>
                <w:rFonts w:ascii="仿宋_GB2312" w:hAnsi="宋体" w:eastAsia="仿宋_GB2312"/>
                <w:b/>
                <w:color w:val="auto"/>
                <w:sz w:val="24"/>
              </w:rPr>
            </w:pPr>
          </w:p>
        </w:tc>
        <w:tc>
          <w:tcPr>
            <w:tcW w:w="851" w:type="dxa"/>
            <w:vAlign w:val="center"/>
          </w:tcPr>
          <w:p>
            <w:pPr>
              <w:pStyle w:val="13"/>
              <w:tabs>
                <w:tab w:val="left" w:pos="600"/>
              </w:tabs>
              <w:spacing w:after="0" w:line="460" w:lineRule="exact"/>
              <w:ind w:left="0" w:leftChars="0"/>
              <w:rPr>
                <w:rFonts w:hint="eastAsia" w:ascii="仿宋_GB2312" w:eastAsia="仿宋_GB2312" w:cs="宋体"/>
                <w:b/>
                <w:bCs/>
                <w:color w:val="auto"/>
                <w:sz w:val="24"/>
                <w:lang w:eastAsia="zh-CN"/>
              </w:rPr>
            </w:pPr>
            <w:r>
              <w:rPr>
                <w:rFonts w:hint="eastAsia" w:ascii="仿宋_GB2312" w:eastAsia="仿宋_GB2312" w:cs="宋体"/>
                <w:b/>
                <w:bCs/>
                <w:color w:val="auto"/>
                <w:sz w:val="24"/>
              </w:rPr>
              <w:t>核心产品制造商管理体系认证</w:t>
            </w:r>
            <w:r>
              <w:rPr>
                <w:rFonts w:hint="eastAsia" w:ascii="仿宋_GB2312" w:eastAsia="仿宋_GB2312" w:cs="宋体"/>
                <w:b/>
                <w:bCs/>
                <w:color w:val="auto"/>
                <w:sz w:val="24"/>
                <w:lang w:val="en-US" w:eastAsia="zh-CN"/>
              </w:rPr>
              <w:t>2分</w:t>
            </w:r>
          </w:p>
        </w:tc>
        <w:tc>
          <w:tcPr>
            <w:tcW w:w="5386" w:type="dxa"/>
            <w:vAlign w:val="center"/>
          </w:tcPr>
          <w:p>
            <w:pPr>
              <w:pStyle w:val="23"/>
              <w:spacing w:before="0" w:beforeAutospacing="0" w:after="0" w:afterAutospacing="0" w:line="460" w:lineRule="exact"/>
              <w:rPr>
                <w:rFonts w:ascii="仿宋_GB2312" w:eastAsia="仿宋_GB2312"/>
                <w:color w:val="auto"/>
              </w:rPr>
            </w:pPr>
            <w:r>
              <w:rPr>
                <w:rFonts w:hint="eastAsia" w:ascii="仿宋_GB2312" w:eastAsia="仿宋_GB2312"/>
                <w:color w:val="auto"/>
              </w:rPr>
              <w:t>（</w:t>
            </w:r>
            <w:r>
              <w:rPr>
                <w:rFonts w:hint="eastAsia" w:ascii="仿宋_GB2312" w:eastAsia="仿宋_GB2312"/>
                <w:color w:val="auto"/>
                <w:lang w:val="en-US" w:eastAsia="zh-CN"/>
              </w:rPr>
              <w:t>1</w:t>
            </w:r>
            <w:r>
              <w:rPr>
                <w:rFonts w:hint="eastAsia" w:ascii="仿宋_GB2312" w:eastAsia="仿宋_GB2312"/>
                <w:color w:val="auto"/>
              </w:rPr>
              <w:t>）核心产品制造商质量管理体系、环境管理体系认证，每提供一项核心产品制造商的有效管理体系认证证书复印件（加盖投标人公章）得</w:t>
            </w:r>
            <w:r>
              <w:rPr>
                <w:rFonts w:hint="eastAsia" w:ascii="仿宋_GB2312" w:eastAsia="仿宋_GB2312"/>
                <w:color w:val="auto"/>
                <w:lang w:val="en-US" w:eastAsia="zh-CN"/>
              </w:rPr>
              <w:t>1</w:t>
            </w:r>
            <w:r>
              <w:rPr>
                <w:rFonts w:hint="eastAsia" w:ascii="仿宋_GB2312" w:eastAsia="仿宋_GB2312"/>
                <w:color w:val="auto"/>
              </w:rPr>
              <w:t>分，本项最高得</w:t>
            </w:r>
            <w:r>
              <w:rPr>
                <w:rFonts w:hint="eastAsia" w:ascii="仿宋_GB2312" w:eastAsia="仿宋_GB2312"/>
                <w:color w:val="auto"/>
                <w:lang w:val="en-US" w:eastAsia="zh-CN"/>
              </w:rPr>
              <w:t>2</w:t>
            </w:r>
            <w:r>
              <w:rPr>
                <w:rFonts w:hint="eastAsia" w:ascii="仿宋_GB2312" w:eastAsia="仿宋_GB2312"/>
                <w:color w:val="auto"/>
              </w:rPr>
              <w:t>分。</w:t>
            </w:r>
          </w:p>
          <w:p>
            <w:pPr>
              <w:pStyle w:val="23"/>
              <w:spacing w:before="0" w:beforeAutospacing="0" w:after="0" w:afterAutospacing="0" w:line="460" w:lineRule="exact"/>
              <w:rPr>
                <w:rFonts w:ascii="仿宋_GB2312" w:eastAsia="仿宋_GB2312"/>
                <w:color w:val="auto"/>
              </w:rPr>
            </w:pPr>
            <w:r>
              <w:rPr>
                <w:rFonts w:hint="eastAsia" w:ascii="仿宋_GB2312" w:eastAsia="仿宋_GB2312"/>
                <w:color w:val="auto"/>
              </w:rPr>
              <w:t>未提供加盖投标人公章认证证书复印件的，评审时该项认证得0分；无效或过期的认证证书，评审时该项认证得0分。</w:t>
            </w:r>
          </w:p>
          <w:p>
            <w:pPr>
              <w:pStyle w:val="23"/>
              <w:spacing w:before="0" w:beforeAutospacing="0" w:after="0" w:afterAutospacing="0" w:line="460" w:lineRule="exact"/>
              <w:rPr>
                <w:rFonts w:hint="eastAsia" w:ascii="仿宋_GB2312" w:eastAsia="仿宋_GB2312"/>
                <w:color w:val="auto"/>
              </w:rPr>
            </w:pPr>
          </w:p>
        </w:tc>
        <w:tc>
          <w:tcPr>
            <w:tcW w:w="1701" w:type="dxa"/>
            <w:vAlign w:val="center"/>
          </w:tcPr>
          <w:p>
            <w:pPr>
              <w:pStyle w:val="13"/>
              <w:tabs>
                <w:tab w:val="left" w:pos="600"/>
              </w:tabs>
              <w:spacing w:after="0" w:line="460" w:lineRule="exact"/>
              <w:ind w:left="42" w:leftChars="2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728" w:type="dxa"/>
            <w:vMerge w:val="continue"/>
            <w:vAlign w:val="center"/>
          </w:tcPr>
          <w:p>
            <w:pPr>
              <w:pStyle w:val="13"/>
              <w:tabs>
                <w:tab w:val="left" w:pos="600"/>
              </w:tabs>
              <w:spacing w:after="0" w:line="460" w:lineRule="exact"/>
              <w:jc w:val="center"/>
              <w:rPr>
                <w:rFonts w:ascii="仿宋_GB2312" w:hAnsi="宋体" w:eastAsia="仿宋_GB2312"/>
                <w:color w:val="auto"/>
                <w:sz w:val="24"/>
              </w:rPr>
            </w:pPr>
          </w:p>
        </w:tc>
        <w:tc>
          <w:tcPr>
            <w:tcW w:w="1223" w:type="dxa"/>
            <w:vMerge w:val="continue"/>
            <w:vAlign w:val="center"/>
          </w:tcPr>
          <w:p>
            <w:pPr>
              <w:pStyle w:val="13"/>
              <w:tabs>
                <w:tab w:val="left" w:pos="600"/>
              </w:tabs>
              <w:spacing w:after="0" w:line="460" w:lineRule="exact"/>
              <w:jc w:val="center"/>
              <w:rPr>
                <w:rFonts w:ascii="仿宋_GB2312" w:hAnsi="宋体" w:eastAsia="仿宋_GB2312"/>
                <w:color w:val="auto"/>
                <w:sz w:val="24"/>
              </w:rPr>
            </w:pPr>
          </w:p>
        </w:tc>
        <w:tc>
          <w:tcPr>
            <w:tcW w:w="851" w:type="dxa"/>
            <w:vAlign w:val="center"/>
          </w:tcPr>
          <w:p>
            <w:pPr>
              <w:pStyle w:val="13"/>
              <w:tabs>
                <w:tab w:val="left" w:pos="600"/>
              </w:tabs>
              <w:spacing w:after="0" w:line="460" w:lineRule="exact"/>
              <w:ind w:left="0" w:leftChars="0"/>
              <w:rPr>
                <w:rFonts w:ascii="仿宋_GB2312" w:hAnsi="宋体" w:eastAsia="仿宋_GB2312"/>
                <w:b/>
                <w:color w:val="auto"/>
                <w:sz w:val="24"/>
              </w:rPr>
            </w:pPr>
            <w:r>
              <w:rPr>
                <w:rFonts w:hint="eastAsia" w:ascii="仿宋_GB2312" w:hAnsi="宋体" w:eastAsia="仿宋_GB2312"/>
                <w:b/>
                <w:color w:val="auto"/>
                <w:sz w:val="24"/>
              </w:rPr>
              <w:t>实施方 案</w:t>
            </w:r>
          </w:p>
          <w:p>
            <w:pPr>
              <w:pStyle w:val="13"/>
              <w:tabs>
                <w:tab w:val="left" w:pos="600"/>
              </w:tabs>
              <w:spacing w:after="0" w:line="460" w:lineRule="exact"/>
              <w:ind w:left="0" w:leftChars="0"/>
              <w:rPr>
                <w:rFonts w:ascii="仿宋_GB2312" w:hAnsi="楷体" w:eastAsia="仿宋_GB2312"/>
                <w:color w:val="auto"/>
                <w:sz w:val="24"/>
              </w:rPr>
            </w:pPr>
            <w:r>
              <w:rPr>
                <w:rFonts w:hint="eastAsia" w:ascii="仿宋_GB2312" w:hAnsi="宋体" w:eastAsia="仿宋_GB2312" w:cs="宋体"/>
                <w:bCs/>
                <w:color w:val="auto"/>
                <w:sz w:val="24"/>
              </w:rPr>
              <w:t>10分</w:t>
            </w:r>
          </w:p>
        </w:tc>
        <w:tc>
          <w:tcPr>
            <w:tcW w:w="5386" w:type="dxa"/>
            <w:vAlign w:val="center"/>
          </w:tcPr>
          <w:p>
            <w:pPr>
              <w:pStyle w:val="13"/>
              <w:tabs>
                <w:tab w:val="left" w:pos="600"/>
              </w:tabs>
              <w:spacing w:after="0" w:line="440" w:lineRule="exact"/>
              <w:ind w:left="0" w:leftChars="0"/>
              <w:rPr>
                <w:rFonts w:ascii="仿宋_GB2312" w:eastAsia="仿宋_GB2312" w:cs="宋体"/>
                <w:color w:val="auto"/>
                <w:sz w:val="24"/>
              </w:rPr>
            </w:pPr>
            <w:r>
              <w:rPr>
                <w:rFonts w:hint="eastAsia" w:ascii="仿宋_GB2312" w:eastAsia="仿宋_GB2312" w:cs="宋体"/>
                <w:color w:val="auto"/>
                <w:sz w:val="24"/>
              </w:rPr>
              <w:t>实施方案包含但不限于：货源组织方案、交货验收方案、货物安装现场仓储保管方案、安装和调试方案、进度计划、交货期保证措施、安全保证措施、人员安排情况、技术培训、应急预案、疫情防控措施等</w:t>
            </w:r>
          </w:p>
          <w:p>
            <w:pPr>
              <w:pStyle w:val="13"/>
              <w:tabs>
                <w:tab w:val="left" w:pos="600"/>
              </w:tabs>
              <w:spacing w:after="0" w:line="440" w:lineRule="exact"/>
              <w:ind w:left="0" w:leftChars="0"/>
              <w:rPr>
                <w:rFonts w:ascii="仿宋_GB2312" w:eastAsia="仿宋_GB2312" w:cs="宋体"/>
                <w:color w:val="auto"/>
                <w:sz w:val="24"/>
              </w:rPr>
            </w:pPr>
            <w:r>
              <w:rPr>
                <w:rFonts w:hint="eastAsia" w:ascii="仿宋_GB2312" w:eastAsia="仿宋_GB2312" w:cs="宋体"/>
                <w:color w:val="auto"/>
                <w:sz w:val="24"/>
              </w:rPr>
              <w:t>（1）方案完整、科学、可行，满足采购人实际需求，描述条理清晰，有较高针对性，根据响应情况得10～8分；</w:t>
            </w:r>
          </w:p>
          <w:p>
            <w:pPr>
              <w:pStyle w:val="13"/>
              <w:tabs>
                <w:tab w:val="left" w:pos="600"/>
              </w:tabs>
              <w:spacing w:after="0" w:line="440" w:lineRule="exact"/>
              <w:ind w:left="0" w:leftChars="0"/>
              <w:rPr>
                <w:rFonts w:ascii="仿宋_GB2312" w:eastAsia="仿宋_GB2312" w:cs="宋体"/>
                <w:color w:val="auto"/>
                <w:sz w:val="24"/>
              </w:rPr>
            </w:pPr>
            <w:r>
              <w:rPr>
                <w:rFonts w:hint="eastAsia" w:ascii="仿宋_GB2312" w:eastAsia="仿宋_GB2312" w:cs="宋体"/>
                <w:color w:val="auto"/>
                <w:sz w:val="24"/>
              </w:rPr>
              <w:t>（2）方案较为完整、科学、可行，基本满足采购人实际需求，根据响应情况得8～5分；</w:t>
            </w:r>
          </w:p>
          <w:p>
            <w:pPr>
              <w:pStyle w:val="13"/>
              <w:tabs>
                <w:tab w:val="left" w:pos="600"/>
              </w:tabs>
              <w:spacing w:after="0" w:line="440" w:lineRule="exact"/>
              <w:ind w:left="0" w:leftChars="0"/>
              <w:rPr>
                <w:rFonts w:ascii="仿宋_GB2312" w:eastAsia="仿宋_GB2312" w:cs="宋体"/>
                <w:color w:val="auto"/>
                <w:sz w:val="24"/>
              </w:rPr>
            </w:pPr>
            <w:r>
              <w:rPr>
                <w:rFonts w:hint="eastAsia" w:ascii="仿宋_GB2312" w:eastAsia="仿宋_GB2312" w:cs="宋体"/>
                <w:color w:val="auto"/>
                <w:sz w:val="24"/>
              </w:rPr>
              <w:t>（3）方案有明显缺陷，针对性较差，根据响应情况得5分～0分。</w:t>
            </w:r>
          </w:p>
        </w:tc>
        <w:tc>
          <w:tcPr>
            <w:tcW w:w="1701" w:type="dxa"/>
            <w:vAlign w:val="center"/>
          </w:tcPr>
          <w:p>
            <w:pPr>
              <w:pStyle w:val="13"/>
              <w:tabs>
                <w:tab w:val="left" w:pos="600"/>
              </w:tabs>
              <w:spacing w:after="0" w:line="460" w:lineRule="exact"/>
              <w:ind w:left="42" w:leftChars="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28" w:type="dxa"/>
            <w:vMerge w:val="continue"/>
            <w:vAlign w:val="center"/>
          </w:tcPr>
          <w:p>
            <w:pPr>
              <w:pStyle w:val="13"/>
              <w:tabs>
                <w:tab w:val="left" w:pos="600"/>
              </w:tabs>
              <w:spacing w:after="0" w:line="460" w:lineRule="exact"/>
              <w:jc w:val="center"/>
              <w:rPr>
                <w:rFonts w:ascii="仿宋_GB2312" w:hAnsi="宋体" w:eastAsia="仿宋_GB2312"/>
                <w:color w:val="auto"/>
                <w:sz w:val="24"/>
              </w:rPr>
            </w:pPr>
          </w:p>
        </w:tc>
        <w:tc>
          <w:tcPr>
            <w:tcW w:w="1223" w:type="dxa"/>
            <w:vMerge w:val="continue"/>
            <w:vAlign w:val="center"/>
          </w:tcPr>
          <w:p>
            <w:pPr>
              <w:pStyle w:val="13"/>
              <w:tabs>
                <w:tab w:val="left" w:pos="600"/>
              </w:tabs>
              <w:spacing w:after="0" w:line="460" w:lineRule="exact"/>
              <w:jc w:val="center"/>
              <w:rPr>
                <w:rFonts w:ascii="仿宋_GB2312" w:hAnsi="宋体" w:eastAsia="仿宋_GB2312"/>
                <w:color w:val="auto"/>
                <w:sz w:val="24"/>
              </w:rPr>
            </w:pPr>
          </w:p>
        </w:tc>
        <w:tc>
          <w:tcPr>
            <w:tcW w:w="851" w:type="dxa"/>
            <w:vAlign w:val="center"/>
          </w:tcPr>
          <w:p>
            <w:pPr>
              <w:pStyle w:val="13"/>
              <w:tabs>
                <w:tab w:val="left" w:pos="600"/>
              </w:tabs>
              <w:spacing w:after="0" w:line="460" w:lineRule="exact"/>
              <w:ind w:left="0" w:leftChars="0"/>
              <w:rPr>
                <w:rFonts w:ascii="仿宋_GB2312" w:hAnsi="宋体" w:eastAsia="仿宋_GB2312"/>
                <w:b/>
                <w:color w:val="auto"/>
                <w:sz w:val="24"/>
              </w:rPr>
            </w:pPr>
            <w:r>
              <w:rPr>
                <w:rFonts w:hint="eastAsia" w:ascii="仿宋_GB2312" w:hAnsi="宋体" w:eastAsia="仿宋_GB2312"/>
                <w:b/>
                <w:color w:val="auto"/>
                <w:sz w:val="24"/>
              </w:rPr>
              <w:t>售后服务方案</w:t>
            </w:r>
          </w:p>
          <w:p>
            <w:pPr>
              <w:pStyle w:val="13"/>
              <w:tabs>
                <w:tab w:val="left" w:pos="600"/>
              </w:tabs>
              <w:spacing w:after="0" w:line="460" w:lineRule="exact"/>
              <w:ind w:left="0" w:leftChars="0"/>
              <w:rPr>
                <w:rFonts w:ascii="仿宋_GB2312" w:hAnsi="楷体" w:eastAsia="仿宋_GB2312"/>
                <w:color w:val="auto"/>
                <w:sz w:val="24"/>
              </w:rPr>
            </w:pPr>
            <w:r>
              <w:rPr>
                <w:rFonts w:hint="eastAsia" w:ascii="仿宋_GB2312" w:hAnsi="宋体" w:eastAsia="仿宋_GB2312"/>
                <w:b/>
                <w:color w:val="auto"/>
                <w:sz w:val="24"/>
              </w:rPr>
              <w:t>5 分</w:t>
            </w:r>
          </w:p>
        </w:tc>
        <w:tc>
          <w:tcPr>
            <w:tcW w:w="5386" w:type="dxa"/>
            <w:tcBorders>
              <w:left w:val="single" w:color="auto" w:sz="2" w:space="0"/>
            </w:tcBorders>
            <w:vAlign w:val="center"/>
          </w:tcPr>
          <w:p>
            <w:pPr>
              <w:pStyle w:val="13"/>
              <w:tabs>
                <w:tab w:val="left" w:pos="600"/>
              </w:tabs>
              <w:spacing w:after="0" w:line="460" w:lineRule="exact"/>
              <w:ind w:left="0" w:leftChars="0"/>
              <w:rPr>
                <w:rFonts w:ascii="仿宋_GB2312" w:hAnsi="宋体" w:eastAsia="仿宋_GB2312"/>
                <w:color w:val="auto"/>
                <w:sz w:val="24"/>
              </w:rPr>
            </w:pPr>
            <w:r>
              <w:rPr>
                <w:rFonts w:hint="eastAsia" w:ascii="仿宋_GB2312" w:hAnsi="宋体" w:eastAsia="仿宋_GB2312"/>
                <w:color w:val="auto"/>
                <w:sz w:val="24"/>
              </w:rPr>
              <w:t>售后服务方案包含但不限于售后</w:t>
            </w:r>
            <w:r>
              <w:rPr>
                <w:rFonts w:ascii="仿宋_GB2312" w:hAnsi="宋体" w:eastAsia="仿宋_GB2312"/>
                <w:color w:val="auto"/>
                <w:sz w:val="24"/>
              </w:rPr>
              <w:t>服务</w:t>
            </w:r>
            <w:r>
              <w:rPr>
                <w:rFonts w:hint="eastAsia" w:ascii="仿宋_GB2312" w:hAnsi="宋体" w:eastAsia="仿宋_GB2312"/>
                <w:color w:val="auto"/>
                <w:sz w:val="24"/>
              </w:rPr>
              <w:t>体系</w:t>
            </w:r>
            <w:r>
              <w:rPr>
                <w:rFonts w:ascii="仿宋_GB2312" w:hAnsi="宋体" w:eastAsia="仿宋_GB2312"/>
                <w:color w:val="auto"/>
                <w:sz w:val="24"/>
              </w:rPr>
              <w:t>机构</w:t>
            </w:r>
            <w:r>
              <w:rPr>
                <w:rFonts w:hint="eastAsia" w:ascii="仿宋_GB2312" w:hAnsi="宋体" w:eastAsia="仿宋_GB2312"/>
                <w:color w:val="auto"/>
                <w:sz w:val="24"/>
              </w:rPr>
              <w:t>、售后服务人员组成合理分工、技术支持方案、售后服务及保障措施、故障排除能力及响应时间及时性、售后服务承诺等。</w:t>
            </w:r>
          </w:p>
          <w:p>
            <w:pPr>
              <w:pStyle w:val="13"/>
              <w:tabs>
                <w:tab w:val="left" w:pos="600"/>
              </w:tabs>
              <w:spacing w:after="0" w:line="460" w:lineRule="exact"/>
              <w:ind w:left="0" w:leftChars="0"/>
              <w:rPr>
                <w:rFonts w:ascii="仿宋_GB2312" w:eastAsia="仿宋_GB2312" w:cs="宋体"/>
                <w:color w:val="auto"/>
                <w:sz w:val="24"/>
              </w:rPr>
            </w:pPr>
            <w:r>
              <w:rPr>
                <w:rFonts w:hint="eastAsia" w:ascii="仿宋_GB2312" w:eastAsia="仿宋_GB2312" w:cs="宋体"/>
                <w:color w:val="auto"/>
                <w:sz w:val="24"/>
              </w:rPr>
              <w:t>（1）方案完整、科学、可行，满足采购人实际需求，描述条理清晰，有较高针对性，根据响应情况得5～3分；</w:t>
            </w:r>
          </w:p>
          <w:p>
            <w:pPr>
              <w:pStyle w:val="13"/>
              <w:tabs>
                <w:tab w:val="left" w:pos="600"/>
              </w:tabs>
              <w:spacing w:after="0" w:line="460" w:lineRule="exact"/>
              <w:ind w:left="0" w:leftChars="0"/>
              <w:rPr>
                <w:rFonts w:ascii="仿宋_GB2312" w:eastAsia="仿宋_GB2312" w:cs="宋体"/>
                <w:color w:val="auto"/>
                <w:sz w:val="24"/>
              </w:rPr>
            </w:pPr>
            <w:r>
              <w:rPr>
                <w:rFonts w:hint="eastAsia" w:ascii="仿宋_GB2312" w:eastAsia="仿宋_GB2312" w:cs="宋体"/>
                <w:color w:val="auto"/>
                <w:sz w:val="24"/>
              </w:rPr>
              <w:t>（2）方案较为完整、科学、可行，基本满足采购人实际需求，根据响应情况得3～2分；</w:t>
            </w:r>
          </w:p>
          <w:p>
            <w:pPr>
              <w:pStyle w:val="13"/>
              <w:tabs>
                <w:tab w:val="left" w:pos="600"/>
              </w:tabs>
              <w:spacing w:after="0" w:line="460" w:lineRule="exact"/>
              <w:ind w:left="0" w:leftChars="0"/>
              <w:rPr>
                <w:rFonts w:ascii="仿宋_GB2312" w:hAnsi="宋体" w:eastAsia="仿宋_GB2312"/>
                <w:color w:val="auto"/>
                <w:sz w:val="24"/>
              </w:rPr>
            </w:pPr>
            <w:r>
              <w:rPr>
                <w:rFonts w:hint="eastAsia" w:ascii="仿宋_GB2312" w:eastAsia="仿宋_GB2312" w:cs="宋体"/>
                <w:color w:val="auto"/>
                <w:sz w:val="24"/>
              </w:rPr>
              <w:t>（3）方案有明显缺陷，针对性较差，根据响应情况得2～0分。</w:t>
            </w:r>
          </w:p>
        </w:tc>
        <w:tc>
          <w:tcPr>
            <w:tcW w:w="1701" w:type="dxa"/>
            <w:vAlign w:val="center"/>
          </w:tcPr>
          <w:p>
            <w:pPr>
              <w:pStyle w:val="7"/>
              <w:spacing w:before="0" w:after="0" w:line="460" w:lineRule="exact"/>
              <w:rPr>
                <w:rFonts w:ascii="仿宋_GB2312" w:hAnsi="宋体" w:eastAsia="仿宋_GB2312"/>
                <w:b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28" w:type="dxa"/>
            <w:vMerge w:val="restart"/>
            <w:vAlign w:val="center"/>
          </w:tcPr>
          <w:p>
            <w:pPr>
              <w:pStyle w:val="13"/>
              <w:tabs>
                <w:tab w:val="left" w:pos="600"/>
              </w:tabs>
              <w:spacing w:after="0" w:line="460" w:lineRule="exact"/>
              <w:ind w:left="0" w:leftChars="0"/>
              <w:jc w:val="center"/>
              <w:rPr>
                <w:rFonts w:ascii="仿宋_GB2312" w:hAnsi="宋体" w:eastAsia="仿宋_GB2312"/>
                <w:color w:val="auto"/>
                <w:sz w:val="24"/>
              </w:rPr>
            </w:pPr>
            <w:r>
              <w:rPr>
                <w:rFonts w:hint="eastAsia" w:ascii="仿宋_GB2312" w:hAnsi="宋体" w:eastAsia="仿宋_GB2312"/>
                <w:color w:val="auto"/>
                <w:sz w:val="24"/>
              </w:rPr>
              <w:t>3</w:t>
            </w:r>
          </w:p>
        </w:tc>
        <w:tc>
          <w:tcPr>
            <w:tcW w:w="1223" w:type="dxa"/>
            <w:vMerge w:val="restart"/>
            <w:vAlign w:val="center"/>
          </w:tcPr>
          <w:p>
            <w:pPr>
              <w:pStyle w:val="13"/>
              <w:tabs>
                <w:tab w:val="left" w:pos="600"/>
              </w:tabs>
              <w:spacing w:after="0" w:line="460" w:lineRule="exact"/>
              <w:ind w:left="0" w:leftChars="0"/>
              <w:jc w:val="center"/>
              <w:rPr>
                <w:rFonts w:ascii="仿宋_GB2312" w:hAnsi="宋体" w:eastAsia="仿宋_GB2312"/>
                <w:b/>
                <w:color w:val="auto"/>
                <w:sz w:val="24"/>
              </w:rPr>
            </w:pPr>
            <w:r>
              <w:rPr>
                <w:rFonts w:hint="eastAsia" w:ascii="仿宋_GB2312" w:hAnsi="宋体" w:eastAsia="仿宋_GB2312"/>
                <w:b/>
                <w:color w:val="auto"/>
                <w:sz w:val="24"/>
              </w:rPr>
              <w:t>商务</w:t>
            </w:r>
          </w:p>
          <w:p>
            <w:pPr>
              <w:pStyle w:val="13"/>
              <w:tabs>
                <w:tab w:val="left" w:pos="600"/>
              </w:tabs>
              <w:spacing w:after="0" w:line="460" w:lineRule="exact"/>
              <w:ind w:left="0" w:leftChars="0"/>
              <w:jc w:val="center"/>
              <w:rPr>
                <w:rFonts w:ascii="仿宋_GB2312" w:hAnsi="宋体" w:eastAsia="仿宋_GB2312"/>
                <w:b/>
                <w:color w:val="auto"/>
                <w:sz w:val="24"/>
              </w:rPr>
            </w:pPr>
            <w:r>
              <w:rPr>
                <w:rFonts w:hint="eastAsia" w:ascii="仿宋_GB2312" w:hAnsi="宋体" w:eastAsia="仿宋_GB2312"/>
                <w:b/>
                <w:color w:val="auto"/>
                <w:sz w:val="24"/>
              </w:rPr>
              <w:t>（5分）</w:t>
            </w:r>
          </w:p>
        </w:tc>
        <w:tc>
          <w:tcPr>
            <w:tcW w:w="851" w:type="dxa"/>
            <w:vAlign w:val="center"/>
          </w:tcPr>
          <w:p>
            <w:pPr>
              <w:pStyle w:val="13"/>
              <w:tabs>
                <w:tab w:val="left" w:pos="600"/>
              </w:tabs>
              <w:spacing w:after="0" w:line="460" w:lineRule="exact"/>
              <w:ind w:left="0" w:leftChars="0"/>
              <w:rPr>
                <w:rFonts w:ascii="仿宋_GB2312" w:hAnsi="宋体" w:eastAsia="仿宋_GB2312"/>
                <w:b/>
                <w:color w:val="auto"/>
                <w:sz w:val="24"/>
              </w:rPr>
            </w:pPr>
            <w:r>
              <w:rPr>
                <w:rFonts w:hint="eastAsia" w:ascii="仿宋_GB2312" w:hAnsi="宋体" w:eastAsia="仿宋_GB2312"/>
                <w:b/>
                <w:color w:val="auto"/>
                <w:sz w:val="24"/>
              </w:rPr>
              <w:t>节能产 品</w:t>
            </w:r>
          </w:p>
          <w:p>
            <w:pPr>
              <w:pStyle w:val="13"/>
              <w:tabs>
                <w:tab w:val="left" w:pos="600"/>
              </w:tabs>
              <w:spacing w:after="0" w:line="460" w:lineRule="exact"/>
              <w:ind w:left="0" w:leftChars="0"/>
              <w:rPr>
                <w:rFonts w:ascii="仿宋_GB2312" w:hAnsi="楷体" w:eastAsia="仿宋_GB2312"/>
                <w:color w:val="auto"/>
                <w:sz w:val="24"/>
              </w:rPr>
            </w:pPr>
            <w:r>
              <w:rPr>
                <w:rFonts w:hint="eastAsia" w:ascii="仿宋_GB2312" w:hAnsi="宋体" w:eastAsia="仿宋_GB2312" w:cs="宋体"/>
                <w:b/>
                <w:bCs/>
                <w:color w:val="auto"/>
                <w:sz w:val="24"/>
              </w:rPr>
              <w:t>1  分</w:t>
            </w:r>
          </w:p>
        </w:tc>
        <w:tc>
          <w:tcPr>
            <w:tcW w:w="5386" w:type="dxa"/>
            <w:tcBorders>
              <w:left w:val="single" w:color="auto" w:sz="2" w:space="0"/>
            </w:tcBorders>
            <w:vAlign w:val="center"/>
          </w:tcPr>
          <w:p>
            <w:pPr>
              <w:pStyle w:val="13"/>
              <w:tabs>
                <w:tab w:val="left" w:pos="600"/>
              </w:tabs>
              <w:spacing w:after="0" w:line="460" w:lineRule="exact"/>
              <w:ind w:left="0" w:leftChars="0"/>
              <w:rPr>
                <w:rFonts w:ascii="仿宋_GB2312" w:hAnsi="宋体" w:eastAsia="仿宋_GB2312"/>
                <w:color w:val="auto"/>
                <w:sz w:val="24"/>
              </w:rPr>
            </w:pPr>
            <w:r>
              <w:rPr>
                <w:rFonts w:hint="eastAsia" w:ascii="仿宋_GB2312" w:hAnsi="宋体" w:eastAsia="仿宋_GB2312"/>
                <w:color w:val="auto"/>
                <w:sz w:val="24"/>
              </w:rPr>
              <w:t>（1）所投产品认定为节能产品的，每提供1种节能产品得0.5分，最高得1分；</w:t>
            </w:r>
          </w:p>
          <w:p>
            <w:pPr>
              <w:pStyle w:val="13"/>
              <w:tabs>
                <w:tab w:val="left" w:pos="600"/>
              </w:tabs>
              <w:spacing w:after="0" w:line="460" w:lineRule="exact"/>
              <w:ind w:left="0" w:leftChars="0"/>
              <w:rPr>
                <w:rFonts w:ascii="仿宋_GB2312" w:hAnsi="宋体" w:eastAsia="仿宋_GB2312"/>
                <w:color w:val="auto"/>
                <w:sz w:val="24"/>
              </w:rPr>
            </w:pPr>
            <w:r>
              <w:rPr>
                <w:rFonts w:hint="eastAsia" w:ascii="仿宋_GB2312" w:hAnsi="宋体" w:eastAsia="仿宋_GB2312"/>
                <w:color w:val="auto"/>
                <w:sz w:val="24"/>
              </w:rPr>
              <w:t>（2）既是环境标志产品，又是节能产品可同时得分，既不是环境标志产品、也不是节能产品的得0分。</w:t>
            </w:r>
          </w:p>
          <w:p>
            <w:pPr>
              <w:pStyle w:val="13"/>
              <w:tabs>
                <w:tab w:val="left" w:pos="600"/>
              </w:tabs>
              <w:spacing w:after="0" w:line="460" w:lineRule="exact"/>
              <w:ind w:left="0" w:leftChars="0"/>
              <w:rPr>
                <w:rFonts w:ascii="仿宋_GB2312" w:hAnsi="宋体" w:eastAsia="仿宋_GB2312"/>
                <w:color w:val="auto"/>
                <w:sz w:val="24"/>
              </w:rPr>
            </w:pPr>
            <w:r>
              <w:rPr>
                <w:rFonts w:hint="eastAsia" w:ascii="仿宋_GB2312" w:hAnsi="宋体" w:eastAsia="仿宋_GB2312"/>
                <w:color w:val="auto"/>
                <w:sz w:val="24"/>
              </w:rPr>
              <w:t>（3）</w:t>
            </w:r>
            <w:r>
              <w:rPr>
                <w:rFonts w:hint="eastAsia" w:ascii="仿宋_GB2312" w:eastAsia="仿宋_GB2312" w:cs="宋体"/>
                <w:color w:val="auto"/>
                <w:kern w:val="0"/>
                <w:sz w:val="24"/>
              </w:rPr>
              <w:t>属于强制采购的节能产品，不再给予计分。</w:t>
            </w:r>
          </w:p>
        </w:tc>
        <w:tc>
          <w:tcPr>
            <w:tcW w:w="1701" w:type="dxa"/>
            <w:vAlign w:val="center"/>
          </w:tcPr>
          <w:p>
            <w:pPr>
              <w:pStyle w:val="13"/>
              <w:tabs>
                <w:tab w:val="left" w:pos="600"/>
              </w:tabs>
              <w:spacing w:after="0" w:line="460" w:lineRule="exact"/>
              <w:ind w:left="42" w:leftChars="0"/>
              <w:jc w:val="left"/>
              <w:rPr>
                <w:rFonts w:ascii="仿宋_GB2312" w:hAnsi="宋体" w:eastAsia="仿宋_GB2312"/>
                <w:color w:val="auto"/>
                <w:sz w:val="24"/>
              </w:rPr>
            </w:pPr>
            <w:r>
              <w:rPr>
                <w:rFonts w:hint="eastAsia" w:ascii="仿宋_GB2312" w:eastAsia="仿宋_GB2312"/>
                <w:color w:val="auto"/>
                <w:sz w:val="24"/>
              </w:rPr>
              <w:t>节能产品为品目清单中产品并取得认证证书</w:t>
            </w:r>
            <w:r>
              <w:rPr>
                <w:rFonts w:hint="eastAsia" w:ascii="仿宋_GB2312" w:hAnsi="宋体" w:eastAsia="仿宋_GB2312"/>
                <w:color w:val="auto"/>
                <w:sz w:val="24"/>
              </w:rPr>
              <w:t>，且在有效期内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28" w:type="dxa"/>
            <w:vMerge w:val="continue"/>
            <w:vAlign w:val="center"/>
          </w:tcPr>
          <w:p>
            <w:pPr>
              <w:pStyle w:val="13"/>
              <w:tabs>
                <w:tab w:val="left" w:pos="600"/>
              </w:tabs>
              <w:spacing w:after="0" w:line="460" w:lineRule="exact"/>
              <w:jc w:val="center"/>
              <w:rPr>
                <w:rFonts w:ascii="仿宋_GB2312" w:hAnsi="宋体" w:eastAsia="仿宋_GB2312"/>
                <w:color w:val="auto"/>
                <w:sz w:val="24"/>
              </w:rPr>
            </w:pPr>
          </w:p>
        </w:tc>
        <w:tc>
          <w:tcPr>
            <w:tcW w:w="1223" w:type="dxa"/>
            <w:vMerge w:val="continue"/>
            <w:vAlign w:val="center"/>
          </w:tcPr>
          <w:p>
            <w:pPr>
              <w:pStyle w:val="13"/>
              <w:tabs>
                <w:tab w:val="left" w:pos="600"/>
              </w:tabs>
              <w:spacing w:after="0" w:line="460" w:lineRule="exact"/>
              <w:ind w:left="0" w:leftChars="0"/>
              <w:rPr>
                <w:rFonts w:ascii="仿宋_GB2312" w:hAnsi="宋体" w:eastAsia="仿宋_GB2312"/>
                <w:color w:val="auto"/>
                <w:sz w:val="24"/>
              </w:rPr>
            </w:pPr>
          </w:p>
        </w:tc>
        <w:tc>
          <w:tcPr>
            <w:tcW w:w="851" w:type="dxa"/>
            <w:vAlign w:val="center"/>
          </w:tcPr>
          <w:p>
            <w:pPr>
              <w:pStyle w:val="13"/>
              <w:tabs>
                <w:tab w:val="left" w:pos="600"/>
              </w:tabs>
              <w:spacing w:after="0" w:line="460" w:lineRule="exact"/>
              <w:ind w:left="0" w:leftChars="0"/>
              <w:rPr>
                <w:rFonts w:ascii="仿宋_GB2312" w:hAnsi="宋体" w:eastAsia="仿宋_GB2312"/>
                <w:b/>
                <w:color w:val="auto"/>
                <w:sz w:val="24"/>
              </w:rPr>
            </w:pPr>
            <w:r>
              <w:rPr>
                <w:rFonts w:hint="eastAsia" w:ascii="仿宋_GB2312" w:hAnsi="宋体" w:eastAsia="仿宋_GB2312"/>
                <w:b/>
                <w:color w:val="auto"/>
                <w:sz w:val="24"/>
              </w:rPr>
              <w:t>环境标志产品</w:t>
            </w:r>
          </w:p>
          <w:p>
            <w:pPr>
              <w:pStyle w:val="13"/>
              <w:tabs>
                <w:tab w:val="left" w:pos="600"/>
              </w:tabs>
              <w:spacing w:after="0" w:line="460" w:lineRule="exact"/>
              <w:ind w:left="0" w:leftChars="0"/>
              <w:rPr>
                <w:rFonts w:ascii="仿宋_GB2312" w:hAnsi="楷体" w:eastAsia="仿宋_GB2312"/>
                <w:color w:val="auto"/>
                <w:sz w:val="24"/>
              </w:rPr>
            </w:pPr>
            <w:r>
              <w:rPr>
                <w:rFonts w:hint="eastAsia" w:ascii="仿宋_GB2312" w:hAnsi="宋体" w:eastAsia="仿宋_GB2312" w:cs="宋体"/>
                <w:b/>
                <w:bCs/>
                <w:color w:val="auto"/>
                <w:sz w:val="24"/>
              </w:rPr>
              <w:t>1 分</w:t>
            </w:r>
          </w:p>
        </w:tc>
        <w:tc>
          <w:tcPr>
            <w:tcW w:w="5386" w:type="dxa"/>
            <w:tcBorders>
              <w:left w:val="single" w:color="auto" w:sz="2" w:space="0"/>
            </w:tcBorders>
            <w:vAlign w:val="center"/>
          </w:tcPr>
          <w:p>
            <w:pPr>
              <w:pStyle w:val="13"/>
              <w:tabs>
                <w:tab w:val="left" w:pos="600"/>
              </w:tabs>
              <w:spacing w:after="0" w:line="460" w:lineRule="exact"/>
              <w:ind w:left="0" w:leftChars="0"/>
              <w:rPr>
                <w:rFonts w:ascii="仿宋_GB2312" w:hAnsi="宋体" w:eastAsia="仿宋_GB2312"/>
                <w:color w:val="auto"/>
                <w:sz w:val="24"/>
              </w:rPr>
            </w:pPr>
            <w:r>
              <w:rPr>
                <w:rFonts w:hint="eastAsia" w:ascii="仿宋_GB2312" w:hAnsi="宋体" w:eastAsia="仿宋_GB2312"/>
                <w:color w:val="auto"/>
                <w:sz w:val="24"/>
              </w:rPr>
              <w:t>（1）所投产品认定为环境标志产品的，每提供1种环境标志产品得0.5分，最高得1分；</w:t>
            </w:r>
          </w:p>
          <w:p>
            <w:pPr>
              <w:pStyle w:val="13"/>
              <w:tabs>
                <w:tab w:val="left" w:pos="600"/>
              </w:tabs>
              <w:spacing w:after="0" w:line="460" w:lineRule="exact"/>
              <w:ind w:left="0" w:leftChars="0"/>
              <w:rPr>
                <w:rFonts w:ascii="仿宋_GB2312" w:hAnsi="宋体" w:eastAsia="仿宋_GB2312"/>
                <w:color w:val="auto"/>
                <w:sz w:val="24"/>
              </w:rPr>
            </w:pPr>
            <w:r>
              <w:rPr>
                <w:rFonts w:hint="eastAsia" w:ascii="仿宋_GB2312" w:hAnsi="宋体" w:eastAsia="仿宋_GB2312"/>
                <w:color w:val="auto"/>
                <w:sz w:val="24"/>
              </w:rPr>
              <w:t>（2）既是节能产品又是环境标志产品可同时得分，既不是节能产品、也不是环境标志产品的得0分。</w:t>
            </w:r>
          </w:p>
        </w:tc>
        <w:tc>
          <w:tcPr>
            <w:tcW w:w="1701" w:type="dxa"/>
            <w:vAlign w:val="center"/>
          </w:tcPr>
          <w:p>
            <w:pPr>
              <w:pStyle w:val="13"/>
              <w:tabs>
                <w:tab w:val="left" w:pos="600"/>
              </w:tabs>
              <w:spacing w:after="0" w:line="460" w:lineRule="exact"/>
              <w:ind w:left="42" w:leftChars="0"/>
              <w:jc w:val="left"/>
              <w:rPr>
                <w:rFonts w:ascii="仿宋_GB2312" w:hAnsi="宋体" w:eastAsia="仿宋_GB2312"/>
                <w:color w:val="auto"/>
                <w:sz w:val="24"/>
              </w:rPr>
            </w:pPr>
            <w:r>
              <w:rPr>
                <w:rFonts w:hint="eastAsia" w:ascii="仿宋_GB2312" w:eastAsia="仿宋_GB2312"/>
                <w:color w:val="auto"/>
                <w:sz w:val="24"/>
              </w:rPr>
              <w:t>环境标志产品为品目清单中产品并取得认证证书</w:t>
            </w:r>
            <w:r>
              <w:rPr>
                <w:rFonts w:hint="eastAsia" w:ascii="仿宋_GB2312" w:hAnsi="宋体" w:eastAsia="仿宋_GB2312"/>
                <w:color w:val="auto"/>
                <w:sz w:val="24"/>
              </w:rPr>
              <w:t>，且在有效期内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28" w:type="dxa"/>
            <w:vMerge w:val="continue"/>
            <w:vAlign w:val="center"/>
          </w:tcPr>
          <w:p>
            <w:pPr>
              <w:pStyle w:val="13"/>
              <w:tabs>
                <w:tab w:val="left" w:pos="600"/>
              </w:tabs>
              <w:spacing w:after="0" w:line="460" w:lineRule="exact"/>
              <w:jc w:val="center"/>
              <w:rPr>
                <w:rFonts w:ascii="仿宋_GB2312" w:hAnsi="宋体" w:eastAsia="仿宋_GB2312"/>
                <w:color w:val="auto"/>
                <w:sz w:val="24"/>
              </w:rPr>
            </w:pPr>
          </w:p>
        </w:tc>
        <w:tc>
          <w:tcPr>
            <w:tcW w:w="1223" w:type="dxa"/>
            <w:vMerge w:val="continue"/>
            <w:vAlign w:val="center"/>
          </w:tcPr>
          <w:p>
            <w:pPr>
              <w:pStyle w:val="13"/>
              <w:tabs>
                <w:tab w:val="left" w:pos="600"/>
              </w:tabs>
              <w:spacing w:after="0" w:line="460" w:lineRule="exact"/>
              <w:ind w:left="0" w:leftChars="0"/>
              <w:rPr>
                <w:rFonts w:ascii="仿宋_GB2312" w:hAnsi="宋体" w:eastAsia="仿宋_GB2312"/>
                <w:color w:val="auto"/>
                <w:sz w:val="24"/>
              </w:rPr>
            </w:pPr>
          </w:p>
        </w:tc>
        <w:tc>
          <w:tcPr>
            <w:tcW w:w="851" w:type="dxa"/>
            <w:vAlign w:val="center"/>
          </w:tcPr>
          <w:p>
            <w:pPr>
              <w:pStyle w:val="13"/>
              <w:tabs>
                <w:tab w:val="left" w:pos="600"/>
              </w:tabs>
              <w:spacing w:after="0" w:line="460" w:lineRule="exact"/>
              <w:ind w:left="0" w:leftChars="0"/>
              <w:rPr>
                <w:rFonts w:ascii="仿宋_GB2312" w:hAnsi="宋体" w:eastAsia="仿宋_GB2312"/>
                <w:b/>
                <w:color w:val="auto"/>
                <w:sz w:val="24"/>
              </w:rPr>
            </w:pPr>
            <w:r>
              <w:rPr>
                <w:rFonts w:hint="eastAsia" w:ascii="仿宋_GB2312" w:hAnsi="宋体" w:eastAsia="仿宋_GB2312"/>
                <w:b/>
                <w:color w:val="auto"/>
                <w:sz w:val="24"/>
              </w:rPr>
              <w:t>企业综合实 力</w:t>
            </w:r>
          </w:p>
          <w:p>
            <w:pPr>
              <w:pStyle w:val="13"/>
              <w:tabs>
                <w:tab w:val="left" w:pos="600"/>
              </w:tabs>
              <w:spacing w:after="0" w:line="460" w:lineRule="exact"/>
              <w:ind w:left="0" w:leftChars="0"/>
              <w:rPr>
                <w:rFonts w:ascii="仿宋_GB2312" w:hAnsi="宋体" w:eastAsia="仿宋_GB2312"/>
                <w:b/>
                <w:color w:val="auto"/>
                <w:sz w:val="24"/>
              </w:rPr>
            </w:pPr>
            <w:r>
              <w:rPr>
                <w:rFonts w:hint="eastAsia" w:ascii="仿宋_GB2312" w:hAnsi="宋体" w:eastAsia="仿宋_GB2312"/>
                <w:b/>
                <w:color w:val="auto"/>
                <w:sz w:val="24"/>
              </w:rPr>
              <w:t>3 分</w:t>
            </w:r>
          </w:p>
        </w:tc>
        <w:tc>
          <w:tcPr>
            <w:tcW w:w="5386" w:type="dxa"/>
            <w:tcBorders>
              <w:left w:val="single" w:color="auto" w:sz="2" w:space="0"/>
            </w:tcBorders>
            <w:vAlign w:val="center"/>
          </w:tcPr>
          <w:p>
            <w:pPr>
              <w:pStyle w:val="13"/>
              <w:tabs>
                <w:tab w:val="left" w:pos="600"/>
              </w:tabs>
              <w:spacing w:after="0" w:line="460" w:lineRule="exact"/>
              <w:ind w:left="0" w:leftChars="0"/>
              <w:rPr>
                <w:rFonts w:ascii="仿宋_GB2312" w:hAnsi="宋体" w:eastAsia="仿宋_GB2312"/>
                <w:color w:val="auto"/>
                <w:sz w:val="24"/>
              </w:rPr>
            </w:pPr>
            <w:r>
              <w:rPr>
                <w:rFonts w:hint="eastAsia" w:ascii="仿宋_GB2312" w:hAnsi="宋体" w:eastAsia="仿宋_GB2312"/>
                <w:color w:val="auto"/>
                <w:sz w:val="24"/>
              </w:rPr>
              <w:t>根据投标人提供的相关证明材料，综合考虑投标人或为本项目提供货物的制造商的整体实力情况，由评标委员会在0</w:t>
            </w:r>
            <w:r>
              <w:rPr>
                <w:rFonts w:hint="eastAsia" w:ascii="楷体" w:hAnsi="楷体" w:eastAsia="楷体"/>
                <w:color w:val="auto"/>
                <w:sz w:val="24"/>
              </w:rPr>
              <w:t>~</w:t>
            </w:r>
            <w:r>
              <w:rPr>
                <w:rFonts w:hint="eastAsia" w:ascii="仿宋_GB2312" w:hAnsi="宋体" w:eastAsia="仿宋_GB2312"/>
                <w:color w:val="auto"/>
                <w:sz w:val="24"/>
              </w:rPr>
              <w:t>3分范围内自主赋分。</w:t>
            </w:r>
          </w:p>
        </w:tc>
        <w:tc>
          <w:tcPr>
            <w:tcW w:w="1701" w:type="dxa"/>
            <w:vAlign w:val="center"/>
          </w:tcPr>
          <w:p>
            <w:pPr>
              <w:pStyle w:val="7"/>
              <w:spacing w:before="0" w:after="0" w:line="460" w:lineRule="exact"/>
              <w:rPr>
                <w:rFonts w:ascii="仿宋_GB2312" w:hAnsi="宋体" w:eastAsia="仿宋_GB2312"/>
                <w:b w:val="0"/>
                <w:color w:val="auto"/>
              </w:rPr>
            </w:pPr>
            <w:r>
              <w:rPr>
                <w:rFonts w:hint="eastAsia" w:ascii="仿宋_GB2312" w:hAnsi="宋体" w:eastAsia="仿宋_GB2312"/>
                <w:b w:val="0"/>
                <w:color w:val="auto"/>
              </w:rPr>
              <w:t>投标人提供的相关证明材料应为加盖公章复印件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728" w:type="dxa"/>
            <w:vAlign w:val="center"/>
          </w:tcPr>
          <w:p>
            <w:pPr>
              <w:pStyle w:val="13"/>
              <w:tabs>
                <w:tab w:val="left" w:pos="600"/>
              </w:tabs>
              <w:spacing w:after="0" w:line="460" w:lineRule="exact"/>
              <w:ind w:left="0" w:leftChars="0"/>
              <w:jc w:val="center"/>
              <w:rPr>
                <w:rFonts w:ascii="仿宋_GB2312" w:hAnsi="宋体" w:eastAsia="仿宋_GB2312"/>
                <w:color w:val="auto"/>
                <w:sz w:val="24"/>
              </w:rPr>
            </w:pPr>
          </w:p>
        </w:tc>
        <w:tc>
          <w:tcPr>
            <w:tcW w:w="1223" w:type="dxa"/>
            <w:vAlign w:val="center"/>
          </w:tcPr>
          <w:p>
            <w:pPr>
              <w:pStyle w:val="13"/>
              <w:tabs>
                <w:tab w:val="left" w:pos="600"/>
              </w:tabs>
              <w:spacing w:after="0" w:line="460" w:lineRule="exact"/>
              <w:ind w:left="0" w:leftChars="0"/>
              <w:jc w:val="center"/>
              <w:rPr>
                <w:rFonts w:ascii="仿宋_GB2312" w:hAnsi="宋体" w:eastAsia="仿宋_GB2312"/>
                <w:color w:val="auto"/>
                <w:sz w:val="24"/>
              </w:rPr>
            </w:pPr>
          </w:p>
        </w:tc>
        <w:tc>
          <w:tcPr>
            <w:tcW w:w="851" w:type="dxa"/>
            <w:vAlign w:val="center"/>
          </w:tcPr>
          <w:p>
            <w:pPr>
              <w:pStyle w:val="13"/>
              <w:tabs>
                <w:tab w:val="left" w:pos="600"/>
              </w:tabs>
              <w:spacing w:after="0" w:line="460" w:lineRule="exact"/>
              <w:ind w:left="0" w:leftChars="0"/>
              <w:jc w:val="center"/>
              <w:rPr>
                <w:rFonts w:ascii="仿宋_GB2312" w:hAnsi="宋体" w:eastAsia="仿宋_GB2312"/>
                <w:b/>
                <w:color w:val="auto"/>
                <w:sz w:val="24"/>
              </w:rPr>
            </w:pPr>
          </w:p>
        </w:tc>
        <w:tc>
          <w:tcPr>
            <w:tcW w:w="5386" w:type="dxa"/>
            <w:tcBorders>
              <w:left w:val="single" w:color="auto" w:sz="2" w:space="0"/>
            </w:tcBorders>
            <w:vAlign w:val="center"/>
          </w:tcPr>
          <w:p>
            <w:pPr>
              <w:pStyle w:val="13"/>
              <w:tabs>
                <w:tab w:val="left" w:pos="600"/>
              </w:tabs>
              <w:spacing w:after="0" w:line="460" w:lineRule="exact"/>
              <w:ind w:left="0" w:leftChars="0"/>
              <w:rPr>
                <w:rFonts w:ascii="仿宋_GB2312" w:hAnsi="宋体" w:eastAsia="仿宋_GB2312"/>
                <w:color w:val="auto"/>
                <w:sz w:val="24"/>
              </w:rPr>
            </w:pPr>
            <w:r>
              <w:rPr>
                <w:rFonts w:hint="eastAsia" w:ascii="仿宋_GB2312" w:hAnsi="宋体" w:eastAsia="仿宋_GB2312"/>
                <w:color w:val="auto"/>
                <w:sz w:val="24"/>
              </w:rPr>
              <w:t>∑(1+2+3)=100</w:t>
            </w:r>
          </w:p>
        </w:tc>
        <w:tc>
          <w:tcPr>
            <w:tcW w:w="1701" w:type="dxa"/>
            <w:vAlign w:val="center"/>
          </w:tcPr>
          <w:p>
            <w:pPr>
              <w:pStyle w:val="7"/>
              <w:spacing w:before="0" w:after="0" w:line="460" w:lineRule="exact"/>
              <w:rPr>
                <w:rFonts w:ascii="仿宋_GB2312" w:hAnsi="宋体" w:eastAsia="仿宋_GB2312"/>
                <w:b w:val="0"/>
                <w:color w:val="auto"/>
              </w:rPr>
            </w:pPr>
          </w:p>
        </w:tc>
      </w:tr>
    </w:tbl>
    <w:p>
      <w:pPr>
        <w:spacing w:beforeLines="30" w:afterLines="30" w:line="360" w:lineRule="auto"/>
        <w:rPr>
          <w:rFonts w:ascii="仿宋_GB2312" w:hAnsi="宋体" w:eastAsia="仿宋_GB2312"/>
          <w:b/>
          <w:color w:val="auto"/>
          <w:sz w:val="30"/>
          <w:szCs w:val="30"/>
        </w:rPr>
      </w:pPr>
    </w:p>
    <w:p>
      <w:pPr>
        <w:spacing w:beforeLines="30" w:afterLines="30" w:line="360" w:lineRule="auto"/>
        <w:rPr>
          <w:rFonts w:ascii="仿宋_GB2312" w:hAnsi="宋体" w:eastAsia="仿宋_GB2312"/>
          <w:b/>
          <w:color w:val="auto"/>
          <w:sz w:val="30"/>
          <w:szCs w:val="30"/>
        </w:rPr>
      </w:pPr>
      <w:r>
        <w:rPr>
          <w:rFonts w:hint="eastAsia" w:ascii="仿宋_GB2312" w:hAnsi="宋体" w:eastAsia="仿宋_GB2312"/>
          <w:b/>
          <w:color w:val="auto"/>
          <w:sz w:val="30"/>
          <w:szCs w:val="30"/>
        </w:rPr>
        <w:t>2.3无效投标的认定</w:t>
      </w:r>
    </w:p>
    <w:p>
      <w:pPr>
        <w:pStyle w:val="13"/>
        <w:tabs>
          <w:tab w:val="left" w:pos="600"/>
        </w:tabs>
        <w:spacing w:line="500" w:lineRule="exact"/>
        <w:jc w:val="left"/>
        <w:rPr>
          <w:rFonts w:ascii="仿宋_GB2312" w:hAnsi="宋体" w:eastAsia="仿宋_GB2312"/>
          <w:color w:val="auto"/>
          <w:sz w:val="28"/>
          <w:szCs w:val="28"/>
        </w:rPr>
      </w:pPr>
      <w:r>
        <w:rPr>
          <w:rFonts w:hint="eastAsia" w:ascii="仿宋_GB2312" w:hAnsi="宋体" w:eastAsia="仿宋_GB2312"/>
          <w:color w:val="auto"/>
          <w:sz w:val="28"/>
          <w:szCs w:val="28"/>
        </w:rPr>
        <w:t>在评标过程中，出现下列情形之一的，投标无效：</w:t>
      </w:r>
    </w:p>
    <w:p>
      <w:pPr>
        <w:spacing w:line="50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olor w:val="auto"/>
          <w:sz w:val="28"/>
          <w:szCs w:val="28"/>
        </w:rPr>
        <w:t>（1）</w:t>
      </w:r>
      <w:r>
        <w:rPr>
          <w:rFonts w:hint="eastAsia" w:ascii="仿宋_GB2312" w:hAnsi="宋体" w:eastAsia="仿宋_GB2312" w:cs="宋体"/>
          <w:color w:val="auto"/>
          <w:kern w:val="0"/>
          <w:sz w:val="28"/>
          <w:szCs w:val="28"/>
        </w:rPr>
        <w:t>不具备招标文件规定的资格条件和要求的；</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（2）投标文件授权委托书、投标函未按照招标文件要求签署、盖章的；</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（3）投标文件需盖章签字的地方，超过3处只有签字或盖章（授权委托书、投标函除外）的；</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（4）投标报价超过了招标文件中规定的预算金额或者最高限价的；</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（5）投标内容出现漏项或数量与要求不符的；</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（6）投标有效期、交货时间、质保期、售后服务等商务条款不能满足招标文件要求的；</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（7）投标文件中附有采购人不能接受的附加条件的；</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（8）投标产品的技术规格、技术标准不符合招标文件实质性要求的；</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（9）投标产品不符合强制执行的国家标准、行业标准的；</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（10）投标产品不是国家强制节能产品品目清单中的产品（如有）；</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（11）投标产品属于强制性认证产品的未提供强制性产品认证证书复印件；</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（12）进口货物（产品）未办理正常进口手续的（如有）；</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（13）投标文件的关键内容字迹模糊和无法辨认的；</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（14）投标人的报价明显低于其他通过符合性审查投标人的报价，有可能影响产品质量或者不能诚信履约的，且投标人不能证明其报价合理性的；</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（15）法律法规和招标文件规定的其他情形。</w:t>
      </w:r>
    </w:p>
    <w:p>
      <w:pPr>
        <w:spacing w:beforeLines="30" w:afterLines="30" w:line="360" w:lineRule="auto"/>
        <w:rPr>
          <w:rFonts w:ascii="仿宋_GB2312" w:hAnsi="宋体" w:eastAsia="仿宋_GB2312"/>
          <w:b/>
          <w:color w:val="auto"/>
          <w:sz w:val="30"/>
          <w:szCs w:val="30"/>
        </w:rPr>
      </w:pPr>
      <w:r>
        <w:rPr>
          <w:rFonts w:hint="eastAsia" w:ascii="仿宋_GB2312" w:hAnsi="宋体" w:eastAsia="仿宋_GB2312"/>
          <w:b/>
          <w:color w:val="auto"/>
          <w:sz w:val="30"/>
          <w:szCs w:val="30"/>
        </w:rPr>
        <w:t>2.4 特殊情况的处理</w:t>
      </w:r>
    </w:p>
    <w:p>
      <w:pPr>
        <w:widowControl/>
        <w:autoSpaceDE w:val="0"/>
        <w:autoSpaceDN w:val="0"/>
        <w:spacing w:line="500" w:lineRule="exact"/>
        <w:ind w:right="53" w:firstLine="560" w:firstLineChars="200"/>
        <w:textAlignment w:val="bottom"/>
        <w:rPr>
          <w:rFonts w:ascii="仿宋_GB2312" w:hAnsi="宋体" w:eastAsia="仿宋_GB2312"/>
          <w:color w:val="auto"/>
          <w:sz w:val="28"/>
          <w:szCs w:val="28"/>
        </w:rPr>
      </w:pPr>
      <w:r>
        <w:rPr>
          <w:rFonts w:hint="eastAsia" w:ascii="仿宋_GB2312" w:hAnsi="宋体" w:eastAsia="仿宋_GB2312"/>
          <w:color w:val="auto"/>
          <w:sz w:val="28"/>
          <w:szCs w:val="28"/>
        </w:rPr>
        <w:t>2.4.1 投标文件中如果出现计算错误，可按以下原则进行修正：</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（1）投标文件中的大写金额与小写金额不一致的，以大写金额为准；</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（2）投标文件中的总价金额与按单价计算的汇总金额不一致的，以单价计算的汇总金额为准；</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（3）投标文件中的单价金额有明显小数点错误的，以总价为准，并修改单价；</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（4）投标文件中有关分项表内容与“开标一览表”不一致的，以“开标一览表”为准；</w:t>
      </w:r>
    </w:p>
    <w:p>
      <w:pPr>
        <w:pStyle w:val="21"/>
        <w:spacing w:line="500" w:lineRule="exact"/>
        <w:ind w:firstLine="420"/>
        <w:rPr>
          <w:rFonts w:ascii="仿宋_GB2312" w:hAnsi="宋体" w:eastAsia="仿宋_GB2312"/>
          <w:color w:val="auto"/>
          <w:sz w:val="28"/>
          <w:szCs w:val="28"/>
        </w:rPr>
      </w:pPr>
      <w:r>
        <w:rPr>
          <w:rFonts w:hint="eastAsia" w:ascii="仿宋_GB2312" w:hAnsi="宋体" w:eastAsia="仿宋_GB2312"/>
          <w:color w:val="auto"/>
          <w:sz w:val="28"/>
          <w:szCs w:val="28"/>
        </w:rPr>
        <w:t>（5）投标文件中图表与文字表述不一致的，以文字表述为准；</w:t>
      </w:r>
    </w:p>
    <w:p>
      <w:pPr>
        <w:widowControl/>
        <w:autoSpaceDE w:val="0"/>
        <w:autoSpaceDN w:val="0"/>
        <w:spacing w:line="500" w:lineRule="exact"/>
        <w:ind w:right="53" w:firstLine="560" w:firstLineChars="200"/>
        <w:textAlignment w:val="bottom"/>
        <w:rPr>
          <w:rFonts w:ascii="仿宋_GB2312" w:hAnsi="宋体" w:eastAsia="仿宋_GB2312"/>
          <w:color w:val="auto"/>
          <w:sz w:val="28"/>
          <w:szCs w:val="28"/>
        </w:rPr>
      </w:pPr>
      <w:r>
        <w:rPr>
          <w:rFonts w:hint="eastAsia" w:ascii="仿宋_GB2312" w:hAnsi="宋体" w:eastAsia="仿宋_GB2312"/>
          <w:color w:val="auto"/>
          <w:sz w:val="28"/>
          <w:szCs w:val="28"/>
        </w:rPr>
        <w:t>（6）投标文件正本与副本不一致的，以正本为准；</w:t>
      </w:r>
    </w:p>
    <w:p>
      <w:pPr>
        <w:pStyle w:val="9"/>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（7）对不同文字文本投标文件的解释发生异议的，以中文文本为准。</w:t>
      </w:r>
    </w:p>
    <w:p>
      <w:pPr>
        <w:widowControl/>
        <w:autoSpaceDE w:val="0"/>
        <w:autoSpaceDN w:val="0"/>
        <w:spacing w:line="500" w:lineRule="exact"/>
        <w:ind w:right="51" w:firstLine="562" w:firstLineChars="200"/>
        <w:textAlignment w:val="bottom"/>
        <w:rPr>
          <w:rFonts w:ascii="仿宋_GB2312" w:hAnsi="宋体" w:eastAsia="仿宋_GB2312"/>
          <w:b/>
          <w:color w:val="auto"/>
          <w:sz w:val="28"/>
          <w:szCs w:val="28"/>
        </w:rPr>
      </w:pPr>
      <w:r>
        <w:rPr>
          <w:rFonts w:hint="eastAsia" w:ascii="仿宋_GB2312" w:hAnsi="宋体" w:eastAsia="仿宋_GB2312"/>
          <w:b/>
          <w:color w:val="auto"/>
          <w:sz w:val="28"/>
          <w:szCs w:val="28"/>
        </w:rPr>
        <w:t>按上述修正错误的方法调整的投标报价应对投标人具有约束力。如果投标人不接受修正后的价格，其投标将被拒绝。</w:t>
      </w:r>
    </w:p>
    <w:p>
      <w:pPr>
        <w:adjustRightInd w:val="0"/>
        <w:snapToGrid w:val="0"/>
        <w:spacing w:line="500" w:lineRule="exact"/>
        <w:ind w:firstLine="560" w:firstLineChars="200"/>
        <w:rPr>
          <w:rFonts w:ascii="仿宋_GB2312" w:hAnsi="宋体" w:eastAsia="仿宋_GB2312" w:cs="宋体"/>
          <w:b/>
          <w:color w:val="auto"/>
          <w:kern w:val="0"/>
          <w:sz w:val="28"/>
          <w:szCs w:val="28"/>
        </w:rPr>
      </w:pPr>
      <w:r>
        <w:rPr>
          <w:rFonts w:hint="eastAsia" w:ascii="仿宋_GB2312" w:hAnsi="宋体" w:eastAsia="仿宋_GB2312"/>
          <w:color w:val="auto"/>
          <w:sz w:val="28"/>
          <w:szCs w:val="28"/>
        </w:rPr>
        <w:t>2.4.2</w:t>
      </w:r>
      <w:r>
        <w:rPr>
          <w:rFonts w:hint="eastAsia" w:ascii="仿宋_GB2312" w:hAnsi="宋体" w:eastAsia="仿宋_GB2312" w:cs="宋体"/>
          <w:b/>
          <w:color w:val="auto"/>
          <w:kern w:val="0"/>
          <w:sz w:val="28"/>
          <w:szCs w:val="28"/>
        </w:rPr>
        <w:t>报价异常处理</w:t>
      </w:r>
    </w:p>
    <w:p>
      <w:pPr>
        <w:widowControl/>
        <w:autoSpaceDE w:val="0"/>
        <w:autoSpaceDN w:val="0"/>
        <w:spacing w:line="500" w:lineRule="exact"/>
        <w:ind w:right="53" w:firstLine="560" w:firstLineChars="200"/>
        <w:textAlignment w:val="bottom"/>
        <w:rPr>
          <w:rFonts w:ascii="仿宋_GB2312" w:hAnsi="宋体" w:eastAsia="仿宋_GB2312"/>
          <w:color w:val="auto"/>
          <w:sz w:val="28"/>
          <w:szCs w:val="28"/>
        </w:rPr>
      </w:pPr>
      <w:r>
        <w:rPr>
          <w:rFonts w:hint="eastAsia" w:ascii="仿宋_GB2312" w:hAnsi="宋体" w:eastAsia="仿宋_GB2312" w:cs="宋体"/>
          <w:color w:val="auto"/>
          <w:kern w:val="0"/>
          <w:sz w:val="28"/>
          <w:szCs w:val="28"/>
        </w:rPr>
        <w:t xml:space="preserve">   2.4.2.1 </w:t>
      </w:r>
      <w:r>
        <w:rPr>
          <w:rFonts w:hint="eastAsia" w:ascii="仿宋_GB2312" w:hAnsi="宋体" w:eastAsia="仿宋_GB2312"/>
          <w:color w:val="auto"/>
          <w:sz w:val="28"/>
          <w:szCs w:val="28"/>
        </w:rPr>
        <w:t>投标文件分项报价中，若某项有不合理报价（或零报价、漏报价）的，经评标委员会评审后，此项得分为零，不参与投标报价分值的计算。</w:t>
      </w:r>
    </w:p>
    <w:p>
      <w:pPr>
        <w:adjustRightInd w:val="0"/>
        <w:snapToGrid w:val="0"/>
        <w:spacing w:line="500" w:lineRule="exact"/>
        <w:ind w:firstLine="980" w:firstLineChars="35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2.4.2.2评标委员会认为投标人的报价明显低于其他通过符合性审查投标人的报价，有可能影响产品质量或者不能诚信履约的，应当要求其在评标现场合理的时间内提供书面说明，</w:t>
      </w:r>
      <w:r>
        <w:rPr>
          <w:rFonts w:hint="eastAsia" w:ascii="仿宋_GB2312" w:hAnsi="宋体" w:eastAsia="仿宋_GB2312" w:cs="宋体"/>
          <w:b/>
          <w:color w:val="auto"/>
          <w:kern w:val="0"/>
          <w:sz w:val="28"/>
          <w:szCs w:val="28"/>
        </w:rPr>
        <w:t>必要时</w:t>
      </w:r>
      <w:r>
        <w:rPr>
          <w:rFonts w:hint="eastAsia" w:ascii="仿宋_GB2312" w:hAnsi="宋体" w:eastAsia="仿宋_GB2312" w:cs="宋体"/>
          <w:color w:val="auto"/>
          <w:kern w:val="0"/>
          <w:sz w:val="28"/>
          <w:szCs w:val="28"/>
        </w:rPr>
        <w:t>提交相关证明材料；投标人不能证明其报价合理性的，评标委员会应当将其作为无效投标处理。</w:t>
      </w:r>
    </w:p>
    <w:p>
      <w:pPr>
        <w:widowControl/>
        <w:autoSpaceDE w:val="0"/>
        <w:autoSpaceDN w:val="0"/>
        <w:spacing w:line="500" w:lineRule="exact"/>
        <w:ind w:right="53" w:firstLine="560" w:firstLineChars="200"/>
        <w:textAlignment w:val="bottom"/>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投标人的书面说明材料包含服务本身成本、人工费用、运输、税收等，以及投标报价不会影响产品质量或诚信履约能力的说明等。</w:t>
      </w:r>
    </w:p>
    <w:p>
      <w:pPr>
        <w:widowControl/>
        <w:autoSpaceDE w:val="0"/>
        <w:autoSpaceDN w:val="0"/>
        <w:spacing w:line="500" w:lineRule="exact"/>
        <w:ind w:right="53" w:firstLine="560" w:firstLineChars="200"/>
        <w:textAlignment w:val="bottom"/>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投标人的书面说明应当签字确认或者加盖公章，否则无效。书面说明的签字确认，由其法定代表人或者其授权代表签字确认。</w:t>
      </w:r>
    </w:p>
    <w:p>
      <w:pPr>
        <w:widowControl/>
        <w:autoSpaceDE w:val="0"/>
        <w:autoSpaceDN w:val="0"/>
        <w:spacing w:line="500" w:lineRule="exact"/>
        <w:ind w:right="53" w:firstLine="560" w:firstLineChars="200"/>
        <w:textAlignment w:val="bottom"/>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投标人提供书面说明后，评标委员会应当结合本项目采购需求、实际情况、投标人财务状况、与其他投标人比较情况等就投标人的书面说明进行审查评价。投标人如有下列情况的，评标委员会应当将其投标文件作为无效处理：</w:t>
      </w:r>
    </w:p>
    <w:p>
      <w:pPr>
        <w:widowControl/>
        <w:autoSpaceDE w:val="0"/>
        <w:autoSpaceDN w:val="0"/>
        <w:spacing w:line="500" w:lineRule="exact"/>
        <w:ind w:right="53" w:firstLine="560" w:firstLineChars="200"/>
        <w:textAlignment w:val="bottom"/>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（1）拒绝或者变相拒绝提供有效书面说明；</w:t>
      </w:r>
    </w:p>
    <w:p>
      <w:pPr>
        <w:widowControl/>
        <w:autoSpaceDE w:val="0"/>
        <w:autoSpaceDN w:val="0"/>
        <w:spacing w:line="500" w:lineRule="exact"/>
        <w:ind w:right="53" w:firstLine="560" w:firstLineChars="200"/>
        <w:textAlignment w:val="bottom"/>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（2）书面说明不能证明其报价合理性的；</w:t>
      </w:r>
    </w:p>
    <w:p>
      <w:pPr>
        <w:widowControl/>
        <w:autoSpaceDE w:val="0"/>
        <w:autoSpaceDN w:val="0"/>
        <w:spacing w:line="500" w:lineRule="exact"/>
        <w:ind w:right="53" w:firstLine="560" w:firstLineChars="200"/>
        <w:textAlignment w:val="bottom"/>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（3）未在规定时间内递交有效书面说明书的。</w:t>
      </w:r>
    </w:p>
    <w:p>
      <w:pPr>
        <w:widowControl/>
        <w:autoSpaceDE w:val="0"/>
        <w:autoSpaceDN w:val="0"/>
        <w:spacing w:line="500" w:lineRule="exact"/>
        <w:ind w:right="53" w:firstLine="560" w:firstLineChars="200"/>
        <w:textAlignment w:val="bottom"/>
        <w:rPr>
          <w:rFonts w:ascii="仿宋_GB2312" w:hAnsi="宋体" w:eastAsia="仿宋_GB2312"/>
          <w:color w:val="auto"/>
          <w:sz w:val="28"/>
          <w:szCs w:val="28"/>
        </w:rPr>
      </w:pPr>
      <w:r>
        <w:rPr>
          <w:rFonts w:hint="eastAsia" w:ascii="仿宋_GB2312" w:hAnsi="宋体" w:eastAsia="仿宋_GB2312"/>
          <w:color w:val="auto"/>
          <w:sz w:val="28"/>
          <w:szCs w:val="28"/>
        </w:rPr>
        <w:t>2.4.3 评标委员会成员打分超过得分界限或未按本办法赋分时，该评标委员会成员的打分，按废票处理。</w:t>
      </w:r>
    </w:p>
    <w:p>
      <w:pPr>
        <w:widowControl/>
        <w:autoSpaceDE w:val="0"/>
        <w:autoSpaceDN w:val="0"/>
        <w:spacing w:line="500" w:lineRule="exact"/>
        <w:ind w:right="53" w:firstLine="560" w:firstLineChars="200"/>
        <w:textAlignment w:val="bottom"/>
        <w:rPr>
          <w:rFonts w:ascii="仿宋_GB2312" w:hAnsi="宋体" w:eastAsia="仿宋_GB2312"/>
          <w:color w:val="auto"/>
          <w:sz w:val="28"/>
          <w:szCs w:val="28"/>
        </w:rPr>
      </w:pPr>
      <w:r>
        <w:rPr>
          <w:rFonts w:hint="eastAsia" w:ascii="仿宋_GB2312" w:hAnsi="宋体" w:eastAsia="仿宋_GB2312"/>
          <w:color w:val="auto"/>
          <w:sz w:val="28"/>
          <w:szCs w:val="28"/>
        </w:rPr>
        <w:t>2.4.4 评标过程中，各种数值的计算结果，均保留两位小数，第三位“四舍五入”，但计算百分数时应精确到千分位，万分位“四舍五入”。</w:t>
      </w:r>
    </w:p>
    <w:p>
      <w:pPr>
        <w:widowControl/>
        <w:spacing w:line="500" w:lineRule="exact"/>
        <w:ind w:firstLine="562" w:firstLineChars="200"/>
        <w:jc w:val="left"/>
        <w:rPr>
          <w:rFonts w:ascii="仿宋_GB2312" w:hAnsi="宋体" w:eastAsia="仿宋_GB2312"/>
          <w:b/>
          <w:color w:val="auto"/>
          <w:sz w:val="28"/>
          <w:szCs w:val="28"/>
        </w:rPr>
      </w:pPr>
      <w:r>
        <w:rPr>
          <w:rFonts w:hint="eastAsia" w:ascii="仿宋_GB2312" w:hAnsi="宋体" w:eastAsia="仿宋_GB2312"/>
          <w:b/>
          <w:color w:val="auto"/>
          <w:sz w:val="28"/>
          <w:szCs w:val="28"/>
        </w:rPr>
        <w:t>2.4.5 相同品牌的处理</w:t>
      </w:r>
    </w:p>
    <w:p>
      <w:pPr>
        <w:widowControl/>
        <w:spacing w:line="500" w:lineRule="exact"/>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2.4.5.1 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pacing w:line="500" w:lineRule="exact"/>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2.4.5.2 非单一产品采购项目中，多家投标人提供的核心产品品牌相同的，视为提供相同品牌产品。</w:t>
      </w:r>
      <w:r>
        <w:rPr>
          <w:rFonts w:hint="eastAsia" w:ascii="仿宋_GB2312" w:hAnsi="宋体" w:eastAsia="仿宋_GB2312" w:cs="宋体"/>
          <w:b/>
          <w:bCs/>
          <w:color w:val="auto"/>
          <w:kern w:val="0"/>
          <w:sz w:val="28"/>
          <w:szCs w:val="28"/>
        </w:rPr>
        <w:t>本采购项目核心产品为</w:t>
      </w:r>
      <w:r>
        <w:rPr>
          <w:rFonts w:hint="eastAsia" w:ascii="仿宋_GB2312" w:hAnsi="宋体" w:eastAsia="仿宋_GB2312" w:cs="宋体"/>
          <w:b/>
          <w:bCs/>
          <w:color w:val="auto"/>
          <w:kern w:val="0"/>
          <w:sz w:val="28"/>
          <w:szCs w:val="28"/>
          <w:u w:val="single"/>
        </w:rPr>
        <w:t xml:space="preserve"> 智能LED教室灯   </w:t>
      </w:r>
      <w:r>
        <w:rPr>
          <w:rFonts w:hint="eastAsia" w:ascii="仿宋_GB2312" w:hAnsi="宋体" w:eastAsia="仿宋_GB2312" w:cs="宋体"/>
          <w:b/>
          <w:bCs/>
          <w:color w:val="auto"/>
          <w:kern w:val="0"/>
          <w:sz w:val="28"/>
          <w:szCs w:val="28"/>
        </w:rPr>
        <w:t>。</w:t>
      </w:r>
    </w:p>
    <w:p>
      <w:pPr>
        <w:pStyle w:val="69"/>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2.4.6 评标过程中，若出现本评标办法以外的特殊情况时，将暂停评标，待评委会商榷后，再进行评定。</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2.4.7 评标报告签署后，采购人或者采购代理机构发现存在本章第1.5.2条款情形之一的，应当组织原评标委员会进行重新评审，重新评审改变中标结果的，书面报告本级财政部门。</w:t>
      </w:r>
    </w:p>
    <w:p>
      <w:pPr>
        <w:spacing w:line="50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投标人对本章第1.5.2条（1）情形提出质疑的，采购代理机构应当组织原评标委员会进行重新评审，重新评审改变中标结果的，应当书面报告本级财政部门。</w:t>
      </w:r>
    </w:p>
    <w:p>
      <w:pPr>
        <w:pStyle w:val="9"/>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2.4.8 评标过程中，若出现合格投标人只有2家时，采购人可选择以下任意一种方式：</w:t>
      </w:r>
    </w:p>
    <w:p>
      <w:pPr>
        <w:pStyle w:val="9"/>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（1）本次招标按废标处理；</w:t>
      </w:r>
    </w:p>
    <w:p>
      <w:pPr>
        <w:pStyle w:val="9"/>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（2）按照《政府采购货物和服务招标投标管理办法》（财政部第87号令）第43条规定，改作竞争性谈判采购方式，继续采购活动。</w:t>
      </w:r>
    </w:p>
    <w:p>
      <w:pPr>
        <w:pStyle w:val="9"/>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2.4.9 采购人若选择竞争性谈判采购方式继续采购活动时，应当按照下列程序进行：</w:t>
      </w:r>
    </w:p>
    <w:p>
      <w:pPr>
        <w:pStyle w:val="9"/>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（1）由评标委员会出具招标文件没有不合理条款、招标程序符合规定的书面意见并签署；</w:t>
      </w:r>
    </w:p>
    <w:p>
      <w:pPr>
        <w:pStyle w:val="9"/>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（2）由采购人按规定向财政部门提出申请变更采购方式；</w:t>
      </w:r>
    </w:p>
    <w:p>
      <w:pPr>
        <w:pStyle w:val="9"/>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（3）采购代理机构根据财政部门批准的竞争性谈判采购方式，编制竞争性谈判文件，并直接向这2家合格投标人提供竞争性谈判文件；</w:t>
      </w:r>
    </w:p>
    <w:p>
      <w:pPr>
        <w:pStyle w:val="9"/>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（4）采购代理机构将根据竞争性谈判文件规定的时间、地点组织竞争性谈判小组直接与这2家合格投标人进行竞争性谈判。</w:t>
      </w:r>
    </w:p>
    <w:p>
      <w:pPr>
        <w:pStyle w:val="9"/>
        <w:spacing w:line="500" w:lineRule="exact"/>
        <w:ind w:firstLine="562"/>
        <w:rPr>
          <w:rFonts w:ascii="仿宋_GB2312" w:hAnsi="宋体" w:eastAsia="仿宋_GB2312"/>
          <w:b/>
          <w:color w:val="auto"/>
          <w:sz w:val="28"/>
          <w:szCs w:val="28"/>
        </w:rPr>
      </w:pPr>
      <w:r>
        <w:rPr>
          <w:rFonts w:hint="eastAsia" w:ascii="仿宋_GB2312" w:hAnsi="宋体" w:eastAsia="仿宋_GB2312"/>
          <w:b/>
          <w:color w:val="auto"/>
          <w:sz w:val="28"/>
          <w:szCs w:val="28"/>
        </w:rPr>
        <w:t>2.4.10 评标争议处理原则</w:t>
      </w:r>
    </w:p>
    <w:p>
      <w:pPr>
        <w:pStyle w:val="9"/>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评标委员会在评审过程中，对投标文件符合性审查、对投标人投标文件做无效投标处理及其他需要共同认定的事项存在争议的，应当以少数服从多数的原则做出结论，但不得违反法律法规和招标文件的规定。有不同意见的评标委员会成员认为认定过程和结果不符合法律法规或者招标文件规定的，应当及时向采购人书面反映，采购人收到书面反映后，应当及时向同级财政部门报告依法处理。</w:t>
      </w:r>
    </w:p>
    <w:p>
      <w:pPr>
        <w:pStyle w:val="9"/>
        <w:spacing w:line="500" w:lineRule="exact"/>
        <w:ind w:firstLine="562"/>
        <w:rPr>
          <w:rFonts w:ascii="仿宋_GB2312" w:hAnsi="宋体" w:eastAsia="仿宋_GB2312"/>
          <w:b/>
          <w:color w:val="auto"/>
          <w:sz w:val="28"/>
          <w:szCs w:val="28"/>
        </w:rPr>
      </w:pPr>
      <w:bookmarkStart w:id="153" w:name="_Toc20651224"/>
      <w:r>
        <w:rPr>
          <w:rFonts w:hint="eastAsia" w:ascii="仿宋_GB2312" w:hAnsi="宋体" w:eastAsia="仿宋_GB2312"/>
          <w:b/>
          <w:color w:val="auto"/>
          <w:sz w:val="28"/>
          <w:szCs w:val="28"/>
        </w:rPr>
        <w:t>2.4.11 停止评标</w:t>
      </w:r>
      <w:bookmarkEnd w:id="153"/>
    </w:p>
    <w:p>
      <w:pPr>
        <w:pStyle w:val="9"/>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评标委员会发现招标文件存在歧义、重大缺陷导致评标工作无法进行，或者招标文件内容违反国家有关强制性规定的，应当停止评标工作，与采购人、采购代理机构沟通并作书面记录。采购人、采购代理机构确认后，应当修改招标文件，重新组织采购活动。</w:t>
      </w:r>
    </w:p>
    <w:p>
      <w:pPr>
        <w:pStyle w:val="9"/>
        <w:spacing w:line="500" w:lineRule="exact"/>
        <w:ind w:firstLine="562"/>
        <w:rPr>
          <w:rFonts w:ascii="仿宋_GB2312" w:hAnsi="宋体" w:eastAsia="仿宋_GB2312"/>
          <w:b/>
          <w:color w:val="auto"/>
          <w:sz w:val="28"/>
          <w:szCs w:val="28"/>
        </w:rPr>
      </w:pPr>
      <w:bookmarkStart w:id="154" w:name="_Toc20651225"/>
      <w:r>
        <w:rPr>
          <w:rFonts w:hint="eastAsia" w:ascii="仿宋_GB2312" w:hAnsi="宋体" w:eastAsia="仿宋_GB2312"/>
          <w:b/>
          <w:color w:val="auto"/>
          <w:sz w:val="28"/>
          <w:szCs w:val="28"/>
        </w:rPr>
        <w:t>2.4.12 重新组建评标委员会进行评标</w:t>
      </w:r>
      <w:bookmarkEnd w:id="154"/>
    </w:p>
    <w:p>
      <w:pPr>
        <w:pStyle w:val="9"/>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2.4.12.1评标委员会或者其成员存在下列情形导致评标结果无效的，采购人、采购代理机构可以重新组建评标委员会进行评标，并书面报告本级财政部门，但采购合同已经履行的除外：</w:t>
      </w:r>
    </w:p>
    <w:p>
      <w:pPr>
        <w:pStyle w:val="9"/>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（1）评标委员会组成不符合《政府采购货物和服务招标投标管理办法》（财政部第87号令）规定的；</w:t>
      </w:r>
    </w:p>
    <w:p>
      <w:pPr>
        <w:pStyle w:val="9"/>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（2）有《政府采购货物和服务招标投标管理办法》（财政部第87号令）第六十二条第一至五项情形的；</w:t>
      </w:r>
    </w:p>
    <w:p>
      <w:pPr>
        <w:pStyle w:val="9"/>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（3）评标委员会及其成员独立评标受到非法干预的；</w:t>
      </w:r>
    </w:p>
    <w:p>
      <w:pPr>
        <w:pStyle w:val="9"/>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（4）有《中华人民共和国政府采购法实施条例》第七十五条规定的违法行为的。</w:t>
      </w:r>
    </w:p>
    <w:p>
      <w:pPr>
        <w:pStyle w:val="9"/>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2.4.12.2有违法违规行为的原评标委员会成员不得参加重新组建的评标委员会。</w:t>
      </w:r>
    </w:p>
    <w:p>
      <w:pPr>
        <w:pStyle w:val="2"/>
        <w:rPr>
          <w:color w:val="auto"/>
        </w:rPr>
      </w:pPr>
    </w:p>
    <w:p>
      <w:pPr>
        <w:rPr>
          <w:color w:val="auto"/>
        </w:rPr>
      </w:pPr>
    </w:p>
    <w:p>
      <w:pPr>
        <w:pStyle w:val="2"/>
        <w:rPr>
          <w:color w:val="auto"/>
        </w:rPr>
      </w:pPr>
    </w:p>
    <w:p>
      <w:pPr>
        <w:pStyle w:val="3"/>
        <w:adjustRightInd w:val="0"/>
        <w:snapToGrid w:val="0"/>
        <w:spacing w:before="0" w:after="0" w:line="360" w:lineRule="auto"/>
        <w:jc w:val="center"/>
        <w:rPr>
          <w:rFonts w:ascii="黑体" w:hAnsi="黑体" w:eastAsia="黑体" w:cs="仿宋_GB2312"/>
          <w:color w:val="auto"/>
        </w:rPr>
      </w:pPr>
      <w:bookmarkStart w:id="155" w:name="_Toc73278718"/>
      <w:r>
        <w:rPr>
          <w:rFonts w:hint="eastAsia" w:ascii="黑体" w:hAnsi="黑体" w:eastAsia="黑体" w:cs="仿宋_GB2312"/>
          <w:color w:val="auto"/>
        </w:rPr>
        <w:t>第四章 采购内容及要求</w:t>
      </w:r>
      <w:bookmarkEnd w:id="155"/>
    </w:p>
    <w:p>
      <w:pPr>
        <w:pStyle w:val="2"/>
        <w:rPr>
          <w:rFonts w:ascii="黑体" w:hAnsi="黑体" w:eastAsia="黑体"/>
          <w:color w:val="auto"/>
          <w:sz w:val="30"/>
          <w:szCs w:val="30"/>
        </w:rPr>
      </w:pPr>
      <w:r>
        <w:rPr>
          <w:rFonts w:ascii="黑体" w:hAnsi="黑体" w:eastAsia="黑体"/>
          <w:color w:val="auto"/>
          <w:sz w:val="30"/>
          <w:szCs w:val="30"/>
        </w:rPr>
        <w:t>一</w:t>
      </w:r>
      <w:r>
        <w:rPr>
          <w:rFonts w:hint="eastAsia" w:ascii="黑体" w:hAnsi="黑体" w:eastAsia="黑体"/>
          <w:color w:val="auto"/>
          <w:sz w:val="30"/>
          <w:szCs w:val="30"/>
        </w:rPr>
        <w:t>、采购内容</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本次采购主要对学校教室灯光系统进行改造，包含智能LED教室灯、黑板灯、光环境场景控制器及蓝牙耳麦的采购、安装及调试、原灯具拆除及线路改造、恢复原装修效果、现场清理、垃圾外运等。</w:t>
      </w:r>
    </w:p>
    <w:p>
      <w:pPr>
        <w:pStyle w:val="2"/>
        <w:spacing w:beforeLines="50"/>
        <w:rPr>
          <w:rFonts w:ascii="黑体" w:hAnsi="黑体" w:eastAsia="黑体"/>
          <w:color w:val="auto"/>
          <w:sz w:val="30"/>
          <w:szCs w:val="30"/>
        </w:rPr>
      </w:pPr>
      <w:r>
        <w:rPr>
          <w:rFonts w:hint="eastAsia" w:ascii="黑体" w:hAnsi="黑体" w:eastAsia="黑体"/>
          <w:color w:val="auto"/>
          <w:sz w:val="30"/>
          <w:szCs w:val="30"/>
        </w:rPr>
        <w:t>二、采购需求</w:t>
      </w:r>
      <w:r>
        <w:rPr>
          <w:rFonts w:ascii="黑体" w:hAnsi="黑体" w:eastAsia="黑体"/>
          <w:color w:val="auto"/>
          <w:sz w:val="30"/>
          <w:szCs w:val="30"/>
        </w:rPr>
        <w:t>一览表</w:t>
      </w:r>
    </w:p>
    <w:p>
      <w:pPr>
        <w:spacing w:line="500" w:lineRule="exact"/>
        <w:rPr>
          <w:rFonts w:ascii="仿宋_GB2312" w:eastAsia="仿宋_GB2312"/>
          <w:color w:val="auto"/>
          <w:sz w:val="28"/>
          <w:szCs w:val="28"/>
        </w:rPr>
      </w:pPr>
      <w:r>
        <w:rPr>
          <w:rFonts w:hint="eastAsia" w:ascii="仿宋_GB2312" w:eastAsia="仿宋_GB2312"/>
          <w:color w:val="auto"/>
          <w:sz w:val="28"/>
          <w:szCs w:val="28"/>
        </w:rPr>
        <w:t>2.1带有★号的</w:t>
      </w:r>
      <w:r>
        <w:rPr>
          <w:rFonts w:hint="eastAsia" w:ascii="仿宋_GB2312" w:eastAsia="仿宋_GB2312"/>
          <w:color w:val="auto"/>
          <w:sz w:val="28"/>
          <w:szCs w:val="28"/>
          <w:lang w:val="en-US" w:eastAsia="zh-CN"/>
        </w:rPr>
        <w:t>要求</w:t>
      </w:r>
      <w:r>
        <w:rPr>
          <w:rFonts w:hint="eastAsia" w:ascii="仿宋_GB2312" w:eastAsia="仿宋_GB2312"/>
          <w:color w:val="auto"/>
          <w:sz w:val="28"/>
          <w:szCs w:val="28"/>
        </w:rPr>
        <w:t>为实质性条款。</w:t>
      </w:r>
    </w:p>
    <w:p>
      <w:pPr>
        <w:spacing w:line="500" w:lineRule="exact"/>
        <w:rPr>
          <w:rFonts w:ascii="仿宋_GB2312" w:eastAsia="仿宋_GB2312"/>
          <w:b/>
          <w:bCs/>
          <w:color w:val="auto"/>
          <w:sz w:val="28"/>
          <w:szCs w:val="28"/>
        </w:rPr>
      </w:pPr>
      <w:r>
        <w:rPr>
          <w:rFonts w:hint="eastAsia" w:ascii="仿宋_GB2312" w:eastAsia="仿宋_GB2312"/>
          <w:b/>
          <w:bCs/>
          <w:color w:val="auto"/>
          <w:sz w:val="28"/>
          <w:szCs w:val="28"/>
        </w:rPr>
        <w:t>2.2 核心产品：</w:t>
      </w:r>
      <w:r>
        <w:rPr>
          <w:rFonts w:hint="eastAsia" w:ascii="仿宋_GB2312" w:eastAsia="仿宋_GB2312"/>
          <w:b/>
          <w:bCs/>
          <w:color w:val="auto"/>
          <w:sz w:val="28"/>
          <w:szCs w:val="28"/>
          <w:u w:val="single"/>
        </w:rPr>
        <w:t xml:space="preserve"> 智能LED教室灯 </w:t>
      </w:r>
      <w:r>
        <w:rPr>
          <w:rFonts w:hint="eastAsia" w:ascii="仿宋_GB2312" w:eastAsia="仿宋_GB2312"/>
          <w:b/>
          <w:bCs/>
          <w:color w:val="auto"/>
          <w:sz w:val="28"/>
          <w:szCs w:val="28"/>
        </w:rPr>
        <w:t>。</w:t>
      </w:r>
    </w:p>
    <w:p>
      <w:pPr>
        <w:spacing w:line="500" w:lineRule="exact"/>
        <w:rPr>
          <w:rFonts w:ascii="仿宋_GB2312" w:eastAsia="仿宋_GB2312"/>
          <w:color w:val="auto"/>
          <w:sz w:val="28"/>
          <w:szCs w:val="28"/>
        </w:rPr>
      </w:pPr>
      <w:r>
        <w:rPr>
          <w:rFonts w:hint="eastAsia" w:ascii="仿宋_GB2312" w:eastAsia="仿宋_GB2312"/>
          <w:color w:val="auto"/>
          <w:sz w:val="28"/>
          <w:szCs w:val="28"/>
        </w:rPr>
        <w:t>2.3 下列产品为强制采购的节能产品（如有）：/</w:t>
      </w:r>
    </w:p>
    <w:p>
      <w:pPr>
        <w:spacing w:line="500" w:lineRule="exact"/>
        <w:rPr>
          <w:rFonts w:ascii="仿宋_GB2312" w:eastAsia="仿宋_GB2312"/>
          <w:color w:val="auto"/>
          <w:sz w:val="28"/>
          <w:szCs w:val="28"/>
        </w:rPr>
      </w:pPr>
      <w:r>
        <w:rPr>
          <w:rFonts w:hint="eastAsia" w:ascii="仿宋_GB2312" w:eastAsia="仿宋_GB2312"/>
          <w:color w:val="auto"/>
          <w:sz w:val="28"/>
          <w:szCs w:val="28"/>
        </w:rPr>
        <w:t>2.4采购需求</w:t>
      </w:r>
    </w:p>
    <w:p>
      <w:pPr>
        <w:spacing w:line="500" w:lineRule="exact"/>
        <w:rPr>
          <w:rFonts w:ascii="仿宋_GB2312" w:eastAsia="仿宋_GB2312"/>
          <w:color w:val="auto"/>
          <w:sz w:val="28"/>
          <w:szCs w:val="28"/>
        </w:rPr>
      </w:pPr>
      <w:r>
        <w:rPr>
          <w:rFonts w:hint="eastAsia" w:ascii="仿宋_GB2312" w:eastAsia="仿宋_GB2312"/>
          <w:color w:val="auto"/>
          <w:sz w:val="28"/>
          <w:szCs w:val="28"/>
        </w:rPr>
        <w:t xml:space="preserve">   本次采购智能LED教室灯（护眼灯）80套，其中每套包含智能LED教室灯（护眼灯）9盏、智能教室黑板灯3盏、光环境场景控制器1套、蓝牙耳麦1个。</w:t>
      </w:r>
    </w:p>
    <w:p>
      <w:pPr>
        <w:spacing w:line="500" w:lineRule="exact"/>
        <w:ind w:firstLine="420" w:firstLineChars="150"/>
        <w:rPr>
          <w:rFonts w:ascii="仿宋_GB2312" w:eastAsia="仿宋_GB2312"/>
          <w:color w:val="auto"/>
          <w:sz w:val="28"/>
          <w:szCs w:val="28"/>
        </w:rPr>
      </w:pPr>
      <w:r>
        <w:rPr>
          <w:rFonts w:hint="eastAsia" w:ascii="仿宋_GB2312" w:eastAsia="仿宋_GB2312"/>
          <w:color w:val="auto"/>
          <w:sz w:val="28"/>
          <w:szCs w:val="28"/>
        </w:rPr>
        <w:t>需按上述要求进行采购、安装及调试、原灯具拆除及线路改造、恢复原装修效果、现场清理、垃圾外运等的教室共80个。</w:t>
      </w:r>
    </w:p>
    <w:p>
      <w:pPr>
        <w:spacing w:line="500" w:lineRule="exact"/>
        <w:ind w:firstLine="420" w:firstLineChars="150"/>
        <w:rPr>
          <w:rFonts w:ascii="仿宋_GB2312" w:eastAsia="仿宋_GB2312"/>
          <w:color w:val="auto"/>
          <w:sz w:val="28"/>
          <w:szCs w:val="28"/>
        </w:rPr>
      </w:pPr>
      <w:r>
        <w:rPr>
          <w:rFonts w:hint="eastAsia" w:ascii="仿宋_GB2312" w:eastAsia="仿宋_GB2312"/>
          <w:color w:val="auto"/>
          <w:sz w:val="28"/>
          <w:szCs w:val="28"/>
        </w:rPr>
        <w:t>具体各项技术参数及配置要求如下：</w:t>
      </w:r>
    </w:p>
    <w:p>
      <w:pPr>
        <w:spacing w:line="500" w:lineRule="exact"/>
        <w:ind w:firstLine="281" w:firstLineChars="100"/>
        <w:rPr>
          <w:rFonts w:ascii="仿宋_GB2312" w:eastAsia="仿宋_GB2312"/>
          <w:b/>
          <w:color w:val="auto"/>
          <w:sz w:val="28"/>
          <w:szCs w:val="28"/>
        </w:rPr>
      </w:pPr>
      <w:r>
        <w:rPr>
          <w:rFonts w:hint="eastAsia" w:ascii="仿宋_GB2312" w:eastAsia="仿宋_GB2312"/>
          <w:b/>
          <w:color w:val="auto"/>
          <w:sz w:val="28"/>
          <w:szCs w:val="28"/>
        </w:rPr>
        <w:t>（1）智能LED教室灯</w:t>
      </w:r>
    </w:p>
    <w:p>
      <w:pPr>
        <w:spacing w:line="500" w:lineRule="exact"/>
        <w:ind w:firstLine="420" w:firstLineChars="150"/>
        <w:rPr>
          <w:rFonts w:ascii="仿宋_GB2312" w:eastAsia="仿宋_GB2312"/>
          <w:color w:val="auto"/>
          <w:sz w:val="28"/>
          <w:szCs w:val="28"/>
        </w:rPr>
      </w:pPr>
      <w:r>
        <w:rPr>
          <w:rFonts w:hint="eastAsia" w:ascii="仿宋_GB2312" w:eastAsia="仿宋_GB2312"/>
          <w:color w:val="auto"/>
          <w:sz w:val="28"/>
          <w:szCs w:val="28"/>
        </w:rPr>
        <w:t>1）一体式LED格栅防眩灯具，额定功率30-50W，建议尺寸长度≥1000mm；</w:t>
      </w:r>
    </w:p>
    <w:p>
      <w:pPr>
        <w:spacing w:line="500" w:lineRule="exact"/>
        <w:ind w:firstLine="420" w:firstLineChars="150"/>
        <w:rPr>
          <w:rFonts w:ascii="仿宋_GB2312" w:eastAsia="仿宋_GB2312"/>
          <w:color w:val="auto"/>
          <w:sz w:val="28"/>
          <w:szCs w:val="28"/>
        </w:rPr>
      </w:pPr>
      <w:r>
        <w:rPr>
          <w:rFonts w:hint="eastAsia" w:ascii="仿宋_GB2312" w:eastAsia="仿宋_GB2312"/>
          <w:color w:val="auto"/>
          <w:sz w:val="28"/>
          <w:szCs w:val="28"/>
        </w:rPr>
        <w:t>2）LED教室灯15000小时或以上时间的光通维持率≥90%（15000小时或以上时间的光通量与0或1000小时的光通量之比）；</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3）LED教室灯色温（相关色温）在初始测试（0或1000小时）及15000小时或以上均满足3300-5500K；</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4）LED教室灯显色指数在初始测试（0或1000小时）及15000小时或以上均满足Ra≥90、R9≥50；</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5）LED教室灯色容差（色品容差）在初始测试（0或1000小时）及15000小时或以上均满足≤6 SDCM；</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6）LED教室灯满足光束角（半峰光束角）在C0-C180面及C90-C270面15000小时或以上与初始测试（0或1000小时）的差值（绝对值）均≤5°；</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7）LED教室灯人体电磁辐射测试满足20kHz-10MHz感应电流密度系数≤0.85；</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8）LED教室灯电器电子产品认证结果符合《GB/T 26572-2011》及《GB/T 26125-2011》标准要求；</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9）LED教室灯频闪质量特征认证结果为无危害频闪或无频闪危害；</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10）LED教室灯蓝光危害等级为RG0（0类危险），且蓝光质量特征为低蓝光；</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11）LED教室灯护眼质量特征认证结果为眼舒适；</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12）LED教室灯依据《GB 7793-2010》《GB 50034-2013》《GB/T 5700-2008 》及《GB 7000.1-2015》要求通过光环境认证；</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13）智能控制：</w:t>
      </w:r>
    </w:p>
    <w:p>
      <w:pPr>
        <w:spacing w:line="500" w:lineRule="exact"/>
        <w:ind w:firstLine="280" w:firstLineChars="100"/>
        <w:rPr>
          <w:rFonts w:ascii="仿宋_GB2312" w:eastAsia="仿宋_GB2312"/>
          <w:color w:val="auto"/>
          <w:sz w:val="28"/>
          <w:szCs w:val="28"/>
        </w:rPr>
      </w:pPr>
      <w:r>
        <w:rPr>
          <w:rFonts w:ascii="仿宋_GB2312" w:eastAsia="仿宋_GB2312"/>
          <w:color w:val="auto"/>
          <w:sz w:val="28"/>
          <w:szCs w:val="28"/>
        </w:rPr>
        <w:fldChar w:fldCharType="begin"/>
      </w:r>
      <w:r>
        <w:rPr>
          <w:rFonts w:ascii="仿宋_GB2312" w:eastAsia="仿宋_GB2312"/>
          <w:color w:val="auto"/>
          <w:sz w:val="28"/>
          <w:szCs w:val="28"/>
        </w:rPr>
        <w:instrText xml:space="preserve"> </w:instrText>
      </w:r>
      <w:r>
        <w:rPr>
          <w:rFonts w:hint="eastAsia" w:ascii="仿宋_GB2312" w:eastAsia="仿宋_GB2312"/>
          <w:color w:val="auto"/>
          <w:sz w:val="28"/>
          <w:szCs w:val="28"/>
        </w:rPr>
        <w:instrText xml:space="preserve">= 1 \* GB3</w:instrText>
      </w:r>
      <w:r>
        <w:rPr>
          <w:rFonts w:ascii="仿宋_GB2312" w:eastAsia="仿宋_GB2312"/>
          <w:color w:val="auto"/>
          <w:sz w:val="28"/>
          <w:szCs w:val="28"/>
        </w:rPr>
        <w:instrText xml:space="preserve"> </w:instrText>
      </w:r>
      <w:r>
        <w:rPr>
          <w:rFonts w:ascii="仿宋_GB2312" w:eastAsia="仿宋_GB2312"/>
          <w:color w:val="auto"/>
          <w:sz w:val="28"/>
          <w:szCs w:val="28"/>
        </w:rPr>
        <w:fldChar w:fldCharType="separate"/>
      </w:r>
      <w:r>
        <w:rPr>
          <w:rFonts w:hint="eastAsia" w:ascii="仿宋_GB2312" w:eastAsia="仿宋_GB2312"/>
          <w:color w:val="auto"/>
          <w:sz w:val="28"/>
          <w:szCs w:val="28"/>
        </w:rPr>
        <w:t>①</w:t>
      </w:r>
      <w:r>
        <w:rPr>
          <w:rFonts w:ascii="仿宋_GB2312" w:eastAsia="仿宋_GB2312"/>
          <w:color w:val="auto"/>
          <w:sz w:val="28"/>
          <w:szCs w:val="28"/>
        </w:rPr>
        <w:fldChar w:fldCharType="end"/>
      </w:r>
      <w:r>
        <w:rPr>
          <w:rFonts w:hint="eastAsia" w:ascii="仿宋_GB2312" w:eastAsia="仿宋_GB2312"/>
          <w:color w:val="auto"/>
          <w:sz w:val="28"/>
          <w:szCs w:val="28"/>
        </w:rPr>
        <w:t>产品灯具与场景控制器等经智能网关组成独立局域网，不受外界干扰；</w:t>
      </w:r>
    </w:p>
    <w:p>
      <w:pPr>
        <w:spacing w:line="500" w:lineRule="exact"/>
        <w:ind w:firstLine="280" w:firstLineChars="100"/>
        <w:rPr>
          <w:rFonts w:ascii="仿宋_GB2312" w:eastAsia="仿宋_GB2312"/>
          <w:color w:val="auto"/>
          <w:sz w:val="28"/>
          <w:szCs w:val="28"/>
        </w:rPr>
      </w:pPr>
      <w:r>
        <w:rPr>
          <w:rFonts w:ascii="仿宋_GB2312" w:eastAsia="仿宋_GB2312"/>
          <w:color w:val="auto"/>
          <w:sz w:val="28"/>
          <w:szCs w:val="28"/>
        </w:rPr>
        <w:fldChar w:fldCharType="begin"/>
      </w:r>
      <w:r>
        <w:rPr>
          <w:rFonts w:ascii="仿宋_GB2312" w:eastAsia="仿宋_GB2312"/>
          <w:color w:val="auto"/>
          <w:sz w:val="28"/>
          <w:szCs w:val="28"/>
        </w:rPr>
        <w:instrText xml:space="preserve"> </w:instrText>
      </w:r>
      <w:r>
        <w:rPr>
          <w:rFonts w:hint="eastAsia" w:ascii="仿宋_GB2312" w:eastAsia="仿宋_GB2312"/>
          <w:color w:val="auto"/>
          <w:sz w:val="28"/>
          <w:szCs w:val="28"/>
        </w:rPr>
        <w:instrText xml:space="preserve">= 2 \* GB3</w:instrText>
      </w:r>
      <w:r>
        <w:rPr>
          <w:rFonts w:ascii="仿宋_GB2312" w:eastAsia="仿宋_GB2312"/>
          <w:color w:val="auto"/>
          <w:sz w:val="28"/>
          <w:szCs w:val="28"/>
        </w:rPr>
        <w:instrText xml:space="preserve"> </w:instrText>
      </w:r>
      <w:r>
        <w:rPr>
          <w:rFonts w:ascii="仿宋_GB2312" w:eastAsia="仿宋_GB2312"/>
          <w:color w:val="auto"/>
          <w:sz w:val="28"/>
          <w:szCs w:val="28"/>
        </w:rPr>
        <w:fldChar w:fldCharType="separate"/>
      </w:r>
      <w:r>
        <w:rPr>
          <w:rFonts w:hint="eastAsia" w:ascii="仿宋_GB2312" w:eastAsia="仿宋_GB2312"/>
          <w:color w:val="auto"/>
          <w:sz w:val="28"/>
          <w:szCs w:val="28"/>
        </w:rPr>
        <w:t>②</w:t>
      </w:r>
      <w:r>
        <w:rPr>
          <w:rFonts w:ascii="仿宋_GB2312" w:eastAsia="仿宋_GB2312"/>
          <w:color w:val="auto"/>
          <w:sz w:val="28"/>
          <w:szCs w:val="28"/>
        </w:rPr>
        <w:fldChar w:fldCharType="end"/>
      </w:r>
      <w:r>
        <w:rPr>
          <w:rFonts w:hint="eastAsia" w:ascii="仿宋_GB2312" w:eastAsia="仿宋_GB2312"/>
          <w:color w:val="auto"/>
          <w:sz w:val="28"/>
          <w:szCs w:val="28"/>
        </w:rPr>
        <w:t>可通过场景控制器等实现开关控制、智能控制；</w:t>
      </w:r>
    </w:p>
    <w:p>
      <w:pPr>
        <w:spacing w:line="500" w:lineRule="exact"/>
        <w:ind w:firstLine="280" w:firstLineChars="100"/>
        <w:rPr>
          <w:rFonts w:ascii="仿宋_GB2312" w:eastAsia="仿宋_GB2312"/>
          <w:color w:val="auto"/>
          <w:sz w:val="28"/>
          <w:szCs w:val="28"/>
        </w:rPr>
      </w:pPr>
      <w:r>
        <w:rPr>
          <w:rFonts w:ascii="仿宋_GB2312" w:eastAsia="仿宋_GB2312"/>
          <w:color w:val="auto"/>
          <w:sz w:val="28"/>
          <w:szCs w:val="28"/>
        </w:rPr>
        <w:fldChar w:fldCharType="begin"/>
      </w:r>
      <w:r>
        <w:rPr>
          <w:rFonts w:ascii="仿宋_GB2312" w:eastAsia="仿宋_GB2312"/>
          <w:color w:val="auto"/>
          <w:sz w:val="28"/>
          <w:szCs w:val="28"/>
        </w:rPr>
        <w:instrText xml:space="preserve"> </w:instrText>
      </w:r>
      <w:r>
        <w:rPr>
          <w:rFonts w:hint="eastAsia" w:ascii="仿宋_GB2312" w:eastAsia="仿宋_GB2312"/>
          <w:color w:val="auto"/>
          <w:sz w:val="28"/>
          <w:szCs w:val="28"/>
        </w:rPr>
        <w:instrText xml:space="preserve">= 3 \* GB3</w:instrText>
      </w:r>
      <w:r>
        <w:rPr>
          <w:rFonts w:ascii="仿宋_GB2312" w:eastAsia="仿宋_GB2312"/>
          <w:color w:val="auto"/>
          <w:sz w:val="28"/>
          <w:szCs w:val="28"/>
        </w:rPr>
        <w:instrText xml:space="preserve"> </w:instrText>
      </w:r>
      <w:r>
        <w:rPr>
          <w:rFonts w:ascii="仿宋_GB2312" w:eastAsia="仿宋_GB2312"/>
          <w:color w:val="auto"/>
          <w:sz w:val="28"/>
          <w:szCs w:val="28"/>
        </w:rPr>
        <w:fldChar w:fldCharType="separate"/>
      </w:r>
      <w:r>
        <w:rPr>
          <w:rFonts w:hint="eastAsia" w:ascii="仿宋_GB2312" w:eastAsia="仿宋_GB2312"/>
          <w:color w:val="auto"/>
          <w:sz w:val="28"/>
          <w:szCs w:val="28"/>
        </w:rPr>
        <w:t>③</w:t>
      </w:r>
      <w:r>
        <w:rPr>
          <w:rFonts w:ascii="仿宋_GB2312" w:eastAsia="仿宋_GB2312"/>
          <w:color w:val="auto"/>
          <w:sz w:val="28"/>
          <w:szCs w:val="28"/>
        </w:rPr>
        <w:fldChar w:fldCharType="end"/>
      </w:r>
      <w:r>
        <w:rPr>
          <w:rFonts w:hint="eastAsia" w:ascii="仿宋_GB2312" w:eastAsia="仿宋_GB2312"/>
          <w:color w:val="auto"/>
          <w:sz w:val="28"/>
          <w:szCs w:val="28"/>
        </w:rPr>
        <w:t>灯光控制采用平滑渐变调节技术，调节过程柔和舒适；</w:t>
      </w:r>
    </w:p>
    <w:p>
      <w:pPr>
        <w:spacing w:line="500" w:lineRule="exact"/>
        <w:ind w:firstLine="280" w:firstLineChars="100"/>
        <w:rPr>
          <w:rFonts w:ascii="仿宋_GB2312" w:eastAsia="仿宋_GB2312"/>
          <w:color w:val="auto"/>
          <w:sz w:val="28"/>
          <w:szCs w:val="28"/>
        </w:rPr>
      </w:pPr>
      <w:r>
        <w:rPr>
          <w:rFonts w:ascii="仿宋_GB2312" w:eastAsia="仿宋_GB2312"/>
          <w:color w:val="auto"/>
          <w:sz w:val="28"/>
          <w:szCs w:val="28"/>
        </w:rPr>
        <w:fldChar w:fldCharType="begin"/>
      </w:r>
      <w:r>
        <w:rPr>
          <w:rFonts w:ascii="仿宋_GB2312" w:eastAsia="仿宋_GB2312"/>
          <w:color w:val="auto"/>
          <w:sz w:val="28"/>
          <w:szCs w:val="28"/>
        </w:rPr>
        <w:instrText xml:space="preserve"> </w:instrText>
      </w:r>
      <w:r>
        <w:rPr>
          <w:rFonts w:hint="eastAsia" w:ascii="仿宋_GB2312" w:eastAsia="仿宋_GB2312"/>
          <w:color w:val="auto"/>
          <w:sz w:val="28"/>
          <w:szCs w:val="28"/>
        </w:rPr>
        <w:instrText xml:space="preserve">= 4 \* GB3</w:instrText>
      </w:r>
      <w:r>
        <w:rPr>
          <w:rFonts w:ascii="仿宋_GB2312" w:eastAsia="仿宋_GB2312"/>
          <w:color w:val="auto"/>
          <w:sz w:val="28"/>
          <w:szCs w:val="28"/>
        </w:rPr>
        <w:instrText xml:space="preserve"> </w:instrText>
      </w:r>
      <w:r>
        <w:rPr>
          <w:rFonts w:ascii="仿宋_GB2312" w:eastAsia="仿宋_GB2312"/>
          <w:color w:val="auto"/>
          <w:sz w:val="28"/>
          <w:szCs w:val="28"/>
        </w:rPr>
        <w:fldChar w:fldCharType="separate"/>
      </w:r>
      <w:r>
        <w:rPr>
          <w:rFonts w:hint="eastAsia" w:ascii="仿宋_GB2312" w:eastAsia="仿宋_GB2312"/>
          <w:color w:val="auto"/>
          <w:sz w:val="28"/>
          <w:szCs w:val="28"/>
        </w:rPr>
        <w:t>④</w:t>
      </w:r>
      <w:r>
        <w:rPr>
          <w:rFonts w:ascii="仿宋_GB2312" w:eastAsia="仿宋_GB2312"/>
          <w:color w:val="auto"/>
          <w:sz w:val="28"/>
          <w:szCs w:val="28"/>
        </w:rPr>
        <w:fldChar w:fldCharType="end"/>
      </w:r>
      <w:r>
        <w:rPr>
          <w:rFonts w:hint="eastAsia" w:ascii="仿宋_GB2312" w:eastAsia="仿宋_GB2312"/>
          <w:color w:val="auto"/>
          <w:sz w:val="28"/>
          <w:szCs w:val="28"/>
        </w:rPr>
        <w:t>根据教学场景配置≥4种默认场景模式，支持快速配置；场景快速切换，根据使用需求能够快速切换整体灯光照明状态；</w:t>
      </w:r>
    </w:p>
    <w:p>
      <w:pPr>
        <w:spacing w:line="500" w:lineRule="exact"/>
        <w:ind w:firstLine="280" w:firstLineChars="100"/>
        <w:rPr>
          <w:rFonts w:ascii="仿宋_GB2312" w:eastAsia="仿宋_GB2312"/>
          <w:color w:val="auto"/>
          <w:sz w:val="28"/>
          <w:szCs w:val="28"/>
        </w:rPr>
      </w:pPr>
      <w:r>
        <w:rPr>
          <w:rFonts w:ascii="仿宋_GB2312" w:eastAsia="仿宋_GB2312"/>
          <w:color w:val="auto"/>
          <w:sz w:val="28"/>
          <w:szCs w:val="28"/>
        </w:rPr>
        <w:fldChar w:fldCharType="begin"/>
      </w:r>
      <w:r>
        <w:rPr>
          <w:rFonts w:ascii="仿宋_GB2312" w:eastAsia="仿宋_GB2312"/>
          <w:color w:val="auto"/>
          <w:sz w:val="28"/>
          <w:szCs w:val="28"/>
        </w:rPr>
        <w:instrText xml:space="preserve"> </w:instrText>
      </w:r>
      <w:r>
        <w:rPr>
          <w:rFonts w:hint="eastAsia" w:ascii="仿宋_GB2312" w:eastAsia="仿宋_GB2312"/>
          <w:color w:val="auto"/>
          <w:sz w:val="28"/>
          <w:szCs w:val="28"/>
        </w:rPr>
        <w:instrText xml:space="preserve">= 5 \* GB3</w:instrText>
      </w:r>
      <w:r>
        <w:rPr>
          <w:rFonts w:ascii="仿宋_GB2312" w:eastAsia="仿宋_GB2312"/>
          <w:color w:val="auto"/>
          <w:sz w:val="28"/>
          <w:szCs w:val="28"/>
        </w:rPr>
        <w:instrText xml:space="preserve"> </w:instrText>
      </w:r>
      <w:r>
        <w:rPr>
          <w:rFonts w:ascii="仿宋_GB2312" w:eastAsia="仿宋_GB2312"/>
          <w:color w:val="auto"/>
          <w:sz w:val="28"/>
          <w:szCs w:val="28"/>
        </w:rPr>
        <w:fldChar w:fldCharType="separate"/>
      </w:r>
      <w:r>
        <w:rPr>
          <w:rFonts w:hint="eastAsia" w:ascii="仿宋_GB2312" w:eastAsia="仿宋_GB2312"/>
          <w:color w:val="auto"/>
          <w:sz w:val="28"/>
          <w:szCs w:val="28"/>
        </w:rPr>
        <w:t>⑤</w:t>
      </w:r>
      <w:r>
        <w:rPr>
          <w:rFonts w:ascii="仿宋_GB2312" w:eastAsia="仿宋_GB2312"/>
          <w:color w:val="auto"/>
          <w:sz w:val="28"/>
          <w:szCs w:val="28"/>
        </w:rPr>
        <w:fldChar w:fldCharType="end"/>
      </w:r>
      <w:r>
        <w:rPr>
          <w:rFonts w:hint="eastAsia" w:ascii="仿宋_GB2312" w:eastAsia="仿宋_GB2312"/>
          <w:color w:val="auto"/>
          <w:sz w:val="28"/>
          <w:szCs w:val="28"/>
        </w:rPr>
        <w:t>支持自主感应调控模式，能够根据下方桌面照度进行自动光照度调节，保持桌面照度满足在设定标准（国家标准）以上；</w:t>
      </w:r>
    </w:p>
    <w:p>
      <w:pPr>
        <w:spacing w:line="500" w:lineRule="exact"/>
        <w:ind w:firstLine="280" w:firstLineChars="100"/>
        <w:rPr>
          <w:rFonts w:ascii="仿宋_GB2312" w:eastAsia="仿宋_GB2312"/>
          <w:color w:val="auto"/>
          <w:sz w:val="28"/>
          <w:szCs w:val="28"/>
        </w:rPr>
      </w:pPr>
      <w:r>
        <w:rPr>
          <w:rFonts w:ascii="仿宋_GB2312" w:eastAsia="仿宋_GB2312"/>
          <w:color w:val="auto"/>
          <w:sz w:val="28"/>
          <w:szCs w:val="28"/>
        </w:rPr>
        <w:fldChar w:fldCharType="begin"/>
      </w:r>
      <w:r>
        <w:rPr>
          <w:rFonts w:ascii="仿宋_GB2312" w:eastAsia="仿宋_GB2312"/>
          <w:color w:val="auto"/>
          <w:sz w:val="28"/>
          <w:szCs w:val="28"/>
        </w:rPr>
        <w:instrText xml:space="preserve"> </w:instrText>
      </w:r>
      <w:r>
        <w:rPr>
          <w:rFonts w:hint="eastAsia" w:ascii="仿宋_GB2312" w:eastAsia="仿宋_GB2312"/>
          <w:color w:val="auto"/>
          <w:sz w:val="28"/>
          <w:szCs w:val="28"/>
        </w:rPr>
        <w:instrText xml:space="preserve">= 6 \* GB3</w:instrText>
      </w:r>
      <w:r>
        <w:rPr>
          <w:rFonts w:ascii="仿宋_GB2312" w:eastAsia="仿宋_GB2312"/>
          <w:color w:val="auto"/>
          <w:sz w:val="28"/>
          <w:szCs w:val="28"/>
        </w:rPr>
        <w:instrText xml:space="preserve"> </w:instrText>
      </w:r>
      <w:r>
        <w:rPr>
          <w:rFonts w:ascii="仿宋_GB2312" w:eastAsia="仿宋_GB2312"/>
          <w:color w:val="auto"/>
          <w:sz w:val="28"/>
          <w:szCs w:val="28"/>
        </w:rPr>
        <w:fldChar w:fldCharType="separate"/>
      </w:r>
      <w:r>
        <w:rPr>
          <w:rFonts w:hint="eastAsia" w:ascii="仿宋_GB2312" w:eastAsia="仿宋_GB2312"/>
          <w:color w:val="auto"/>
          <w:sz w:val="28"/>
          <w:szCs w:val="28"/>
        </w:rPr>
        <w:t>⑥</w:t>
      </w:r>
      <w:r>
        <w:rPr>
          <w:rFonts w:ascii="仿宋_GB2312" w:eastAsia="仿宋_GB2312"/>
          <w:color w:val="auto"/>
          <w:sz w:val="28"/>
          <w:szCs w:val="28"/>
        </w:rPr>
        <w:fldChar w:fldCharType="end"/>
      </w:r>
      <w:r>
        <w:rPr>
          <w:rFonts w:hint="eastAsia" w:ascii="仿宋_GB2312" w:eastAsia="仿宋_GB2312"/>
          <w:color w:val="auto"/>
          <w:sz w:val="28"/>
          <w:szCs w:val="28"/>
        </w:rPr>
        <w:t>全自动模式切换功能，支持超时恢复自动运行模式，能够自动感应有无人，自动开关灯。</w:t>
      </w:r>
    </w:p>
    <w:p>
      <w:pPr>
        <w:spacing w:line="500" w:lineRule="exact"/>
        <w:ind w:firstLine="281" w:firstLineChars="100"/>
        <w:rPr>
          <w:rFonts w:ascii="仿宋_GB2312" w:eastAsia="仿宋_GB2312"/>
          <w:b/>
          <w:color w:val="auto"/>
          <w:sz w:val="28"/>
          <w:szCs w:val="28"/>
        </w:rPr>
      </w:pPr>
      <w:r>
        <w:rPr>
          <w:rFonts w:hint="eastAsia" w:ascii="仿宋_GB2312" w:eastAsia="仿宋_GB2312"/>
          <w:b/>
          <w:color w:val="auto"/>
          <w:sz w:val="28"/>
          <w:szCs w:val="28"/>
        </w:rPr>
        <w:t>（2）智能教室黑板灯</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1）一体式LED防眩灯具，额定功率30-50W，建议尺寸长度≥</w:t>
      </w:r>
      <w:r>
        <w:rPr>
          <w:rFonts w:ascii="仿宋_GB2312" w:eastAsia="仿宋_GB2312"/>
          <w:color w:val="auto"/>
          <w:sz w:val="28"/>
          <w:szCs w:val="28"/>
        </w:rPr>
        <w:t>12</w:t>
      </w:r>
      <w:r>
        <w:rPr>
          <w:rFonts w:hint="eastAsia" w:ascii="仿宋_GB2312" w:eastAsia="仿宋_GB2312"/>
          <w:color w:val="auto"/>
          <w:sz w:val="28"/>
          <w:szCs w:val="28"/>
        </w:rPr>
        <w:t>00mm；</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2）LED黑板灯色温（相关色温）满足3300-5500K；</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3）LED黑板灯显色指数满足Ra≥90、R9≥50；</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4）LED黑板灯人体电磁辐射测试满足20kHz-10MHz感应电流密度系数≤0.85；</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5）LED黑板灯电器电子产品认证结果符合《GB/T 26572-2011》及《GB/T 26125-2011》标准要求；</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6）LED黑板灯频闪质量特征认证结果为无危害频闪或无频闪危害；</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7）LED黑板灯蓝光危害等级为RG0（0类危险），且蓝光质量特征为低蓝光；</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8）LED黑板灯护眼质量特征认证结果为眼舒适；</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9）LED黑板灯依据《GB 7793-2010》《GB 50034-2013》《GB/T 5700-2008》《GB/T 13379-2008》及《GB 7000.1-2015》要求通过光环境认证；</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10）</w:t>
      </w:r>
      <w:r>
        <w:rPr>
          <w:rFonts w:ascii="仿宋_GB2312" w:eastAsia="仿宋_GB2312"/>
          <w:color w:val="auto"/>
          <w:sz w:val="28"/>
          <w:szCs w:val="28"/>
        </w:rPr>
        <w:t>智能控制</w:t>
      </w:r>
      <w:r>
        <w:rPr>
          <w:rFonts w:hint="eastAsia" w:ascii="仿宋_GB2312" w:eastAsia="仿宋_GB2312"/>
          <w:color w:val="auto"/>
          <w:sz w:val="28"/>
          <w:szCs w:val="28"/>
        </w:rPr>
        <w:t>：</w:t>
      </w:r>
    </w:p>
    <w:p>
      <w:pPr>
        <w:spacing w:line="500" w:lineRule="exact"/>
        <w:ind w:firstLine="280" w:firstLineChars="100"/>
        <w:rPr>
          <w:rFonts w:ascii="仿宋_GB2312" w:eastAsia="仿宋_GB2312"/>
          <w:color w:val="auto"/>
          <w:sz w:val="28"/>
          <w:szCs w:val="28"/>
        </w:rPr>
      </w:pPr>
      <w:r>
        <w:rPr>
          <w:rFonts w:ascii="仿宋_GB2312" w:eastAsia="仿宋_GB2312"/>
          <w:color w:val="auto"/>
          <w:sz w:val="28"/>
          <w:szCs w:val="28"/>
        </w:rPr>
        <w:fldChar w:fldCharType="begin"/>
      </w:r>
      <w:r>
        <w:rPr>
          <w:rFonts w:ascii="仿宋_GB2312" w:eastAsia="仿宋_GB2312"/>
          <w:color w:val="auto"/>
          <w:sz w:val="28"/>
          <w:szCs w:val="28"/>
        </w:rPr>
        <w:instrText xml:space="preserve"> </w:instrText>
      </w:r>
      <w:r>
        <w:rPr>
          <w:rFonts w:hint="eastAsia" w:ascii="仿宋_GB2312" w:eastAsia="仿宋_GB2312"/>
          <w:color w:val="auto"/>
          <w:sz w:val="28"/>
          <w:szCs w:val="28"/>
        </w:rPr>
        <w:instrText xml:space="preserve">= 1 \* GB3</w:instrText>
      </w:r>
      <w:r>
        <w:rPr>
          <w:rFonts w:ascii="仿宋_GB2312" w:eastAsia="仿宋_GB2312"/>
          <w:color w:val="auto"/>
          <w:sz w:val="28"/>
          <w:szCs w:val="28"/>
        </w:rPr>
        <w:instrText xml:space="preserve"> </w:instrText>
      </w:r>
      <w:r>
        <w:rPr>
          <w:rFonts w:ascii="仿宋_GB2312" w:eastAsia="仿宋_GB2312"/>
          <w:color w:val="auto"/>
          <w:sz w:val="28"/>
          <w:szCs w:val="28"/>
        </w:rPr>
        <w:fldChar w:fldCharType="separate"/>
      </w:r>
      <w:r>
        <w:rPr>
          <w:rFonts w:hint="eastAsia" w:ascii="仿宋_GB2312" w:eastAsia="仿宋_GB2312"/>
          <w:color w:val="auto"/>
          <w:sz w:val="28"/>
          <w:szCs w:val="28"/>
        </w:rPr>
        <w:t>①</w:t>
      </w:r>
      <w:r>
        <w:rPr>
          <w:rFonts w:ascii="仿宋_GB2312" w:eastAsia="仿宋_GB2312"/>
          <w:color w:val="auto"/>
          <w:sz w:val="28"/>
          <w:szCs w:val="28"/>
        </w:rPr>
        <w:fldChar w:fldCharType="end"/>
      </w:r>
      <w:r>
        <w:rPr>
          <w:rFonts w:hint="eastAsia" w:ascii="仿宋_GB2312" w:eastAsia="仿宋_GB2312"/>
          <w:color w:val="auto"/>
          <w:sz w:val="28"/>
          <w:szCs w:val="28"/>
        </w:rPr>
        <w:t>产品灯具与场景控制器等经智能网关组成独立局域网，不受外界干扰；</w:t>
      </w:r>
    </w:p>
    <w:p>
      <w:pPr>
        <w:spacing w:line="500" w:lineRule="exact"/>
        <w:ind w:firstLine="280" w:firstLineChars="100"/>
        <w:rPr>
          <w:rFonts w:ascii="仿宋_GB2312" w:eastAsia="仿宋_GB2312"/>
          <w:color w:val="auto"/>
          <w:sz w:val="28"/>
          <w:szCs w:val="28"/>
        </w:rPr>
      </w:pPr>
      <w:r>
        <w:rPr>
          <w:rFonts w:ascii="仿宋_GB2312" w:eastAsia="仿宋_GB2312"/>
          <w:color w:val="auto"/>
          <w:sz w:val="28"/>
          <w:szCs w:val="28"/>
        </w:rPr>
        <w:fldChar w:fldCharType="begin"/>
      </w:r>
      <w:r>
        <w:rPr>
          <w:rFonts w:ascii="仿宋_GB2312" w:eastAsia="仿宋_GB2312"/>
          <w:color w:val="auto"/>
          <w:sz w:val="28"/>
          <w:szCs w:val="28"/>
        </w:rPr>
        <w:instrText xml:space="preserve"> </w:instrText>
      </w:r>
      <w:r>
        <w:rPr>
          <w:rFonts w:hint="eastAsia" w:ascii="仿宋_GB2312" w:eastAsia="仿宋_GB2312"/>
          <w:color w:val="auto"/>
          <w:sz w:val="28"/>
          <w:szCs w:val="28"/>
        </w:rPr>
        <w:instrText xml:space="preserve">= 2 \* GB3</w:instrText>
      </w:r>
      <w:r>
        <w:rPr>
          <w:rFonts w:ascii="仿宋_GB2312" w:eastAsia="仿宋_GB2312"/>
          <w:color w:val="auto"/>
          <w:sz w:val="28"/>
          <w:szCs w:val="28"/>
        </w:rPr>
        <w:instrText xml:space="preserve"> </w:instrText>
      </w:r>
      <w:r>
        <w:rPr>
          <w:rFonts w:ascii="仿宋_GB2312" w:eastAsia="仿宋_GB2312"/>
          <w:color w:val="auto"/>
          <w:sz w:val="28"/>
          <w:szCs w:val="28"/>
        </w:rPr>
        <w:fldChar w:fldCharType="separate"/>
      </w:r>
      <w:r>
        <w:rPr>
          <w:rFonts w:hint="eastAsia" w:ascii="仿宋_GB2312" w:eastAsia="仿宋_GB2312"/>
          <w:color w:val="auto"/>
          <w:sz w:val="28"/>
          <w:szCs w:val="28"/>
        </w:rPr>
        <w:t>②</w:t>
      </w:r>
      <w:r>
        <w:rPr>
          <w:rFonts w:ascii="仿宋_GB2312" w:eastAsia="仿宋_GB2312"/>
          <w:color w:val="auto"/>
          <w:sz w:val="28"/>
          <w:szCs w:val="28"/>
        </w:rPr>
        <w:fldChar w:fldCharType="end"/>
      </w:r>
      <w:r>
        <w:rPr>
          <w:rFonts w:hint="eastAsia" w:ascii="仿宋_GB2312" w:eastAsia="仿宋_GB2312"/>
          <w:color w:val="auto"/>
          <w:sz w:val="28"/>
          <w:szCs w:val="28"/>
        </w:rPr>
        <w:t>可通过场景控制器等实现开关控制、智能控制；</w:t>
      </w:r>
    </w:p>
    <w:p>
      <w:pPr>
        <w:spacing w:line="500" w:lineRule="exact"/>
        <w:ind w:firstLine="280" w:firstLineChars="100"/>
        <w:rPr>
          <w:rFonts w:ascii="仿宋_GB2312" w:eastAsia="仿宋_GB2312"/>
          <w:color w:val="auto"/>
          <w:sz w:val="28"/>
          <w:szCs w:val="28"/>
        </w:rPr>
      </w:pPr>
      <w:r>
        <w:rPr>
          <w:rFonts w:ascii="仿宋_GB2312" w:eastAsia="仿宋_GB2312"/>
          <w:color w:val="auto"/>
          <w:sz w:val="28"/>
          <w:szCs w:val="28"/>
        </w:rPr>
        <w:fldChar w:fldCharType="begin"/>
      </w:r>
      <w:r>
        <w:rPr>
          <w:rFonts w:ascii="仿宋_GB2312" w:eastAsia="仿宋_GB2312"/>
          <w:color w:val="auto"/>
          <w:sz w:val="28"/>
          <w:szCs w:val="28"/>
        </w:rPr>
        <w:instrText xml:space="preserve"> </w:instrText>
      </w:r>
      <w:r>
        <w:rPr>
          <w:rFonts w:hint="eastAsia" w:ascii="仿宋_GB2312" w:eastAsia="仿宋_GB2312"/>
          <w:color w:val="auto"/>
          <w:sz w:val="28"/>
          <w:szCs w:val="28"/>
        </w:rPr>
        <w:instrText xml:space="preserve">= 3 \* GB3</w:instrText>
      </w:r>
      <w:r>
        <w:rPr>
          <w:rFonts w:ascii="仿宋_GB2312" w:eastAsia="仿宋_GB2312"/>
          <w:color w:val="auto"/>
          <w:sz w:val="28"/>
          <w:szCs w:val="28"/>
        </w:rPr>
        <w:instrText xml:space="preserve"> </w:instrText>
      </w:r>
      <w:r>
        <w:rPr>
          <w:rFonts w:ascii="仿宋_GB2312" w:eastAsia="仿宋_GB2312"/>
          <w:color w:val="auto"/>
          <w:sz w:val="28"/>
          <w:szCs w:val="28"/>
        </w:rPr>
        <w:fldChar w:fldCharType="separate"/>
      </w:r>
      <w:r>
        <w:rPr>
          <w:rFonts w:hint="eastAsia" w:ascii="仿宋_GB2312" w:eastAsia="仿宋_GB2312"/>
          <w:color w:val="auto"/>
          <w:sz w:val="28"/>
          <w:szCs w:val="28"/>
        </w:rPr>
        <w:t>③</w:t>
      </w:r>
      <w:r>
        <w:rPr>
          <w:rFonts w:ascii="仿宋_GB2312" w:eastAsia="仿宋_GB2312"/>
          <w:color w:val="auto"/>
          <w:sz w:val="28"/>
          <w:szCs w:val="28"/>
        </w:rPr>
        <w:fldChar w:fldCharType="end"/>
      </w:r>
      <w:r>
        <w:rPr>
          <w:rFonts w:hint="eastAsia" w:ascii="仿宋_GB2312" w:eastAsia="仿宋_GB2312"/>
          <w:color w:val="auto"/>
          <w:sz w:val="28"/>
          <w:szCs w:val="28"/>
        </w:rPr>
        <w:t>灯光控制采用平滑渐变调节技术，调节过程柔和舒适；</w:t>
      </w:r>
    </w:p>
    <w:p>
      <w:pPr>
        <w:spacing w:line="500" w:lineRule="exact"/>
        <w:ind w:firstLine="280" w:firstLineChars="100"/>
        <w:rPr>
          <w:rFonts w:ascii="仿宋_GB2312" w:eastAsia="仿宋_GB2312"/>
          <w:color w:val="auto"/>
          <w:sz w:val="28"/>
          <w:szCs w:val="28"/>
        </w:rPr>
      </w:pPr>
      <w:r>
        <w:rPr>
          <w:rFonts w:ascii="仿宋_GB2312" w:eastAsia="仿宋_GB2312"/>
          <w:color w:val="auto"/>
          <w:sz w:val="28"/>
          <w:szCs w:val="28"/>
        </w:rPr>
        <w:fldChar w:fldCharType="begin"/>
      </w:r>
      <w:r>
        <w:rPr>
          <w:rFonts w:ascii="仿宋_GB2312" w:eastAsia="仿宋_GB2312"/>
          <w:color w:val="auto"/>
          <w:sz w:val="28"/>
          <w:szCs w:val="28"/>
        </w:rPr>
        <w:instrText xml:space="preserve"> </w:instrText>
      </w:r>
      <w:r>
        <w:rPr>
          <w:rFonts w:hint="eastAsia" w:ascii="仿宋_GB2312" w:eastAsia="仿宋_GB2312"/>
          <w:color w:val="auto"/>
          <w:sz w:val="28"/>
          <w:szCs w:val="28"/>
        </w:rPr>
        <w:instrText xml:space="preserve">= 4 \* GB3</w:instrText>
      </w:r>
      <w:r>
        <w:rPr>
          <w:rFonts w:ascii="仿宋_GB2312" w:eastAsia="仿宋_GB2312"/>
          <w:color w:val="auto"/>
          <w:sz w:val="28"/>
          <w:szCs w:val="28"/>
        </w:rPr>
        <w:instrText xml:space="preserve"> </w:instrText>
      </w:r>
      <w:r>
        <w:rPr>
          <w:rFonts w:ascii="仿宋_GB2312" w:eastAsia="仿宋_GB2312"/>
          <w:color w:val="auto"/>
          <w:sz w:val="28"/>
          <w:szCs w:val="28"/>
        </w:rPr>
        <w:fldChar w:fldCharType="separate"/>
      </w:r>
      <w:r>
        <w:rPr>
          <w:rFonts w:hint="eastAsia" w:ascii="仿宋_GB2312" w:eastAsia="仿宋_GB2312"/>
          <w:color w:val="auto"/>
          <w:sz w:val="28"/>
          <w:szCs w:val="28"/>
        </w:rPr>
        <w:t>④</w:t>
      </w:r>
      <w:r>
        <w:rPr>
          <w:rFonts w:ascii="仿宋_GB2312" w:eastAsia="仿宋_GB2312"/>
          <w:color w:val="auto"/>
          <w:sz w:val="28"/>
          <w:szCs w:val="28"/>
        </w:rPr>
        <w:fldChar w:fldCharType="end"/>
      </w:r>
      <w:r>
        <w:rPr>
          <w:rFonts w:hint="eastAsia" w:ascii="仿宋_GB2312" w:eastAsia="仿宋_GB2312"/>
          <w:color w:val="auto"/>
          <w:sz w:val="28"/>
          <w:szCs w:val="28"/>
        </w:rPr>
        <w:t>根据教学场景配置≥4种默认场景模式，支持快速配置；场景快速切换，根据使用需求能够快速切换整体灯光照明状态。</w:t>
      </w:r>
    </w:p>
    <w:p>
      <w:pPr>
        <w:spacing w:line="500" w:lineRule="exact"/>
        <w:ind w:firstLine="281" w:firstLineChars="100"/>
        <w:rPr>
          <w:rFonts w:ascii="仿宋_GB2312" w:eastAsia="仿宋_GB2312"/>
          <w:b/>
          <w:color w:val="auto"/>
          <w:sz w:val="28"/>
          <w:szCs w:val="28"/>
        </w:rPr>
      </w:pPr>
      <w:r>
        <w:rPr>
          <w:rFonts w:hint="eastAsia" w:ascii="仿宋_GB2312" w:eastAsia="仿宋_GB2312"/>
          <w:b/>
          <w:color w:val="auto"/>
          <w:sz w:val="28"/>
          <w:szCs w:val="28"/>
        </w:rPr>
        <w:t>（3）光环境场景控制器</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1）工作电压：</w:t>
      </w:r>
      <w:r>
        <w:rPr>
          <w:rFonts w:ascii="仿宋_GB2312" w:eastAsia="仿宋_GB2312"/>
          <w:color w:val="auto"/>
          <w:sz w:val="28"/>
          <w:szCs w:val="28"/>
        </w:rPr>
        <w:t>220V·AC 50Hz</w:t>
      </w:r>
      <w:r>
        <w:rPr>
          <w:rFonts w:hint="eastAsia" w:ascii="仿宋_GB2312" w:eastAsia="仿宋_GB2312"/>
          <w:color w:val="auto"/>
          <w:sz w:val="28"/>
          <w:szCs w:val="28"/>
        </w:rPr>
        <w:t>。</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2）安装方式：暗盒/明盒安装。</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3）按键布局/数量：2行X3列，6按键。</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4）通讯</w:t>
      </w:r>
      <w:r>
        <w:rPr>
          <w:rFonts w:ascii="仿宋_GB2312" w:eastAsia="仿宋_GB2312"/>
          <w:color w:val="auto"/>
          <w:sz w:val="28"/>
          <w:szCs w:val="28"/>
        </w:rPr>
        <w:t>协议</w:t>
      </w:r>
      <w:r>
        <w:rPr>
          <w:rFonts w:hint="eastAsia" w:ascii="仿宋_GB2312" w:eastAsia="仿宋_GB2312"/>
          <w:color w:val="auto"/>
          <w:sz w:val="28"/>
          <w:szCs w:val="28"/>
        </w:rPr>
        <w:t>：Zigbee</w:t>
      </w:r>
      <w:r>
        <w:rPr>
          <w:rFonts w:ascii="仿宋_GB2312" w:eastAsia="仿宋_GB2312"/>
          <w:color w:val="auto"/>
          <w:sz w:val="28"/>
          <w:szCs w:val="28"/>
        </w:rPr>
        <w:t>3.0</w:t>
      </w:r>
      <w:r>
        <w:rPr>
          <w:rFonts w:hint="eastAsia" w:ascii="仿宋_GB2312" w:eastAsia="仿宋_GB2312"/>
          <w:color w:val="auto"/>
          <w:sz w:val="28"/>
          <w:szCs w:val="28"/>
        </w:rPr>
        <w:t>。</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5）通讯频率：</w:t>
      </w:r>
      <w:r>
        <w:rPr>
          <w:rFonts w:ascii="仿宋_GB2312" w:eastAsia="仿宋_GB2312"/>
          <w:color w:val="auto"/>
          <w:sz w:val="28"/>
          <w:szCs w:val="28"/>
        </w:rPr>
        <w:t>2.4GHz</w:t>
      </w:r>
      <w:r>
        <w:rPr>
          <w:rFonts w:hint="eastAsia" w:ascii="仿宋_GB2312" w:eastAsia="仿宋_GB2312"/>
          <w:color w:val="auto"/>
          <w:sz w:val="28"/>
          <w:szCs w:val="28"/>
        </w:rPr>
        <w:t>。</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6）最大通讯距离：</w:t>
      </w:r>
      <w:r>
        <w:rPr>
          <w:rFonts w:ascii="仿宋_GB2312" w:eastAsia="仿宋_GB2312"/>
          <w:color w:val="auto"/>
          <w:sz w:val="28"/>
          <w:szCs w:val="28"/>
        </w:rPr>
        <w:t>30m</w:t>
      </w:r>
      <w:r>
        <w:rPr>
          <w:rFonts w:hint="eastAsia" w:ascii="仿宋_GB2312" w:eastAsia="仿宋_GB2312"/>
          <w:color w:val="auto"/>
          <w:sz w:val="28"/>
          <w:szCs w:val="28"/>
        </w:rPr>
        <w:t>。</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7）场景一键切换功能，默认4场景/6场景模式。</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8）Zigbee无线组网功能，能够与Zigbee智能灯具以及其他智能设备进行现场控制。</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9）动态指示灯功能，实时显示当前操作，提升交互反馈。</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10）智能窗帘控制功能。</w:t>
      </w:r>
    </w:p>
    <w:p>
      <w:pPr>
        <w:spacing w:line="500" w:lineRule="exact"/>
        <w:ind w:firstLine="281" w:firstLineChars="100"/>
        <w:rPr>
          <w:rFonts w:ascii="仿宋_GB2312" w:eastAsia="仿宋_GB2312"/>
          <w:b/>
          <w:color w:val="auto"/>
          <w:sz w:val="28"/>
          <w:szCs w:val="28"/>
        </w:rPr>
      </w:pPr>
      <w:r>
        <w:rPr>
          <w:rFonts w:hint="eastAsia" w:ascii="仿宋_GB2312" w:eastAsia="仿宋_GB2312"/>
          <w:b/>
          <w:color w:val="auto"/>
          <w:sz w:val="28"/>
          <w:szCs w:val="28"/>
        </w:rPr>
        <w:t>（4）蓝牙耳麦</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1）可自动配对，即插即用。</w:t>
      </w:r>
    </w:p>
    <w:p>
      <w:pPr>
        <w:spacing w:line="500" w:lineRule="exact"/>
        <w:ind w:firstLine="280" w:firstLineChars="100"/>
        <w:rPr>
          <w:rFonts w:ascii="仿宋_GB2312" w:eastAsia="仿宋_GB2312"/>
          <w:color w:val="auto"/>
          <w:sz w:val="28"/>
          <w:szCs w:val="28"/>
        </w:rPr>
      </w:pPr>
      <w:r>
        <w:rPr>
          <w:rFonts w:hint="eastAsia" w:ascii="仿宋_GB2312" w:eastAsia="仿宋_GB2312"/>
          <w:color w:val="auto"/>
          <w:sz w:val="28"/>
          <w:szCs w:val="28"/>
        </w:rPr>
        <w:t>2）可兼容多种扩音设备。</w:t>
      </w:r>
    </w:p>
    <w:p>
      <w:pPr>
        <w:spacing w:line="500" w:lineRule="exact"/>
        <w:ind w:left="281" w:leftChars="134"/>
        <w:rPr>
          <w:color w:val="auto"/>
        </w:rPr>
      </w:pPr>
      <w:r>
        <w:rPr>
          <w:rFonts w:hint="eastAsia" w:ascii="仿宋_GB2312" w:eastAsia="仿宋_GB2312"/>
          <w:color w:val="auto"/>
          <w:sz w:val="28"/>
          <w:szCs w:val="28"/>
        </w:rPr>
        <w:t>3）无线传输距离≥25米，信号稳定。</w:t>
      </w:r>
      <w:r>
        <w:rPr>
          <w:rFonts w:ascii="仿宋_GB2312" w:eastAsia="仿宋_GB2312"/>
          <w:color w:val="auto"/>
          <w:sz w:val="28"/>
          <w:szCs w:val="28"/>
        </w:rPr>
        <w:br w:type="textWrapping"/>
      </w:r>
      <w:r>
        <w:rPr>
          <w:rFonts w:hint="eastAsia" w:ascii="仿宋_GB2312" w:eastAsia="仿宋_GB2312"/>
          <w:color w:val="auto"/>
          <w:sz w:val="28"/>
          <w:szCs w:val="28"/>
        </w:rPr>
        <w:t>4）可头戴、可手持。</w:t>
      </w:r>
    </w:p>
    <w:p>
      <w:pPr>
        <w:pStyle w:val="2"/>
        <w:spacing w:beforeLines="100"/>
        <w:rPr>
          <w:rFonts w:ascii="黑体" w:hAnsi="黑体" w:eastAsia="黑体"/>
          <w:color w:val="auto"/>
          <w:sz w:val="30"/>
          <w:szCs w:val="30"/>
        </w:rPr>
      </w:pPr>
      <w:r>
        <w:rPr>
          <w:rFonts w:hint="eastAsia" w:ascii="黑体" w:hAnsi="黑体" w:eastAsia="黑体"/>
          <w:color w:val="auto"/>
          <w:sz w:val="30"/>
          <w:szCs w:val="30"/>
        </w:rPr>
        <w:t>三、执行的标准及规范</w:t>
      </w:r>
    </w:p>
    <w:p>
      <w:pPr>
        <w:spacing w:line="500" w:lineRule="exact"/>
        <w:ind w:firstLine="420" w:firstLineChars="150"/>
        <w:rPr>
          <w:rFonts w:ascii="仿宋_GB2312" w:eastAsia="仿宋_GB2312"/>
          <w:color w:val="auto"/>
          <w:sz w:val="28"/>
          <w:szCs w:val="28"/>
        </w:rPr>
      </w:pPr>
      <w:r>
        <w:rPr>
          <w:rFonts w:hint="eastAsia" w:ascii="仿宋_GB2312" w:eastAsia="仿宋_GB2312"/>
          <w:color w:val="auto"/>
          <w:sz w:val="28"/>
          <w:szCs w:val="28"/>
        </w:rPr>
        <w:t>（一）执行的标准、规范</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GB50099《中小学校设计规范》；</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GB7793《中小学教室采光和照明卫生标准》；</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GB50034《建筑照明设计标准》；</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JGJ16 《民用建筑电气设计规范》；</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GB/T5700《照明测量方法》；</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GB50303《建筑电气工程施工质量验收规范》；</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GB7000.1《灯具一般安全要求与实验》；</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GB/T 9468《灯具分布光度测量的一般要求》；</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GB/T 36876《中小学校普通教室照明设计安装卫生要求》；</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国家现行相关标准及规范。</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以上规范和标准以实施的最新版本为准。原有规范若已被废弃，则以相应的新规范为准。</w:t>
      </w:r>
    </w:p>
    <w:p>
      <w:pPr>
        <w:spacing w:line="500" w:lineRule="exact"/>
        <w:ind w:firstLine="420" w:firstLineChars="150"/>
        <w:rPr>
          <w:rFonts w:ascii="仿宋_GB2312" w:eastAsia="仿宋_GB2312"/>
          <w:color w:val="auto"/>
          <w:sz w:val="28"/>
          <w:szCs w:val="28"/>
        </w:rPr>
      </w:pPr>
      <w:r>
        <w:rPr>
          <w:rFonts w:hint="eastAsia" w:ascii="仿宋_GB2312" w:eastAsia="仿宋_GB2312"/>
          <w:color w:val="auto"/>
          <w:sz w:val="28"/>
          <w:szCs w:val="28"/>
        </w:rPr>
        <w:t>（二）可参考的标准、规范</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T/JYBZ005《中小学教室照明技术规范》；</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DB31/T539-2020《中小学校及幼儿园教室照明设计规范》；</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TJYBZ 005—2018《中小学教室照明技术规范》；</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CQC3155-2016中小学校及幼儿园教室照明产品节能认证技术规范；</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其他相关标准及规范。</w:t>
      </w:r>
    </w:p>
    <w:p>
      <w:pPr>
        <w:spacing w:line="500" w:lineRule="exact"/>
        <w:ind w:firstLine="420" w:firstLineChars="150"/>
        <w:rPr>
          <w:rFonts w:ascii="仿宋_GB2312" w:eastAsia="仿宋_GB2312"/>
          <w:color w:val="auto"/>
          <w:sz w:val="28"/>
          <w:szCs w:val="28"/>
        </w:rPr>
      </w:pPr>
      <w:r>
        <w:rPr>
          <w:rFonts w:hint="eastAsia" w:ascii="仿宋_GB2312" w:eastAsia="仿宋_GB2312"/>
          <w:color w:val="auto"/>
          <w:sz w:val="28"/>
          <w:szCs w:val="28"/>
        </w:rPr>
        <w:t>（三）上述标准、规范未列明的，则按下列方法进行选择：</w:t>
      </w:r>
    </w:p>
    <w:p>
      <w:pPr>
        <w:spacing w:line="500" w:lineRule="exact"/>
        <w:rPr>
          <w:rFonts w:ascii="仿宋_GB2312" w:eastAsia="仿宋_GB2312"/>
          <w:color w:val="auto"/>
          <w:sz w:val="28"/>
          <w:szCs w:val="28"/>
        </w:rPr>
      </w:pPr>
      <w:r>
        <w:rPr>
          <w:rFonts w:hint="eastAsia" w:ascii="仿宋_GB2312" w:eastAsia="仿宋_GB2312"/>
          <w:color w:val="auto"/>
          <w:sz w:val="28"/>
          <w:szCs w:val="28"/>
        </w:rPr>
        <w:t xml:space="preserve">     国家标准→行业标准→地方标准→团体标准→企业标准（有国家标准按国家标准执行，没有国家标准按行业标准，以此类推，其中国家（行业）有强制性标准、规范的，则以该强制性标准、规范为主）。</w:t>
      </w:r>
    </w:p>
    <w:p>
      <w:pPr>
        <w:pStyle w:val="2"/>
        <w:spacing w:beforeLines="50"/>
        <w:rPr>
          <w:rFonts w:ascii="黑体" w:hAnsi="黑体" w:eastAsia="黑体"/>
          <w:color w:val="auto"/>
          <w:sz w:val="30"/>
          <w:szCs w:val="30"/>
        </w:rPr>
      </w:pPr>
      <w:r>
        <w:rPr>
          <w:rFonts w:hint="eastAsia" w:ascii="黑体" w:hAnsi="黑体" w:eastAsia="黑体"/>
          <w:color w:val="auto"/>
          <w:sz w:val="30"/>
          <w:szCs w:val="30"/>
        </w:rPr>
        <w:t>四、货物（产品）包装要求</w:t>
      </w:r>
    </w:p>
    <w:p>
      <w:pPr>
        <w:autoSpaceDE w:val="0"/>
        <w:autoSpaceDN w:val="0"/>
        <w:spacing w:line="500" w:lineRule="exact"/>
        <w:ind w:firstLine="560" w:firstLineChars="200"/>
        <w:textAlignment w:val="bottom"/>
        <w:rPr>
          <w:rFonts w:ascii="仿宋_GB2312" w:hAnsi="宋体" w:eastAsia="仿宋_GB2312" w:cs="宋体"/>
          <w:color w:val="auto"/>
          <w:sz w:val="28"/>
          <w:szCs w:val="28"/>
        </w:rPr>
      </w:pPr>
      <w:r>
        <w:rPr>
          <w:rFonts w:hint="eastAsia" w:ascii="仿宋_GB2312" w:hAnsi="宋体" w:eastAsia="仿宋_GB2312" w:cs="宋体"/>
          <w:color w:val="auto"/>
          <w:sz w:val="28"/>
          <w:szCs w:val="28"/>
        </w:rPr>
        <w:t>1、当货物（产品）包装使用塑料、纸质、木材等包装材料时，除应当按照国家、行业规定的包装标准进行包装外，还需按照《商品包装政府采购需求标准（试行）》（财办库[2020]）123号）规定的环保要求进行包装。</w:t>
      </w:r>
    </w:p>
    <w:p>
      <w:pPr>
        <w:autoSpaceDE w:val="0"/>
        <w:autoSpaceDN w:val="0"/>
        <w:spacing w:line="500" w:lineRule="exact"/>
        <w:ind w:firstLine="560" w:firstLineChars="200"/>
        <w:textAlignment w:val="bottom"/>
        <w:rPr>
          <w:color w:val="auto"/>
        </w:rPr>
      </w:pPr>
      <w:r>
        <w:rPr>
          <w:rFonts w:hint="eastAsia" w:ascii="仿宋_GB2312" w:hAnsi="宋体" w:eastAsia="仿宋_GB2312" w:cs="宋体"/>
          <w:color w:val="auto"/>
          <w:sz w:val="28"/>
          <w:szCs w:val="28"/>
        </w:rPr>
        <w:t>2、当货物（产品）采用快递交货方式时，快递包装除应当按照国家、行业规定的包装标准进行包装外，还需按照《快递包装政府采购需求标准（试行）》（财办库[2020]）123号）规定的环保要求进行包装。</w:t>
      </w:r>
    </w:p>
    <w:p>
      <w:pPr>
        <w:pStyle w:val="2"/>
        <w:spacing w:beforeLines="50"/>
        <w:rPr>
          <w:rFonts w:ascii="黑体" w:hAnsi="黑体" w:eastAsia="黑体"/>
          <w:color w:val="auto"/>
          <w:sz w:val="30"/>
          <w:szCs w:val="30"/>
        </w:rPr>
      </w:pPr>
      <w:r>
        <w:rPr>
          <w:rFonts w:hint="eastAsia" w:ascii="黑体" w:hAnsi="黑体" w:eastAsia="黑体"/>
          <w:color w:val="auto"/>
          <w:sz w:val="30"/>
          <w:szCs w:val="30"/>
        </w:rPr>
        <w:t>五、施工要求</w:t>
      </w:r>
    </w:p>
    <w:p>
      <w:pPr>
        <w:autoSpaceDE w:val="0"/>
        <w:autoSpaceDN w:val="0"/>
        <w:spacing w:line="500" w:lineRule="exact"/>
        <w:ind w:firstLine="562" w:firstLineChars="200"/>
        <w:textAlignment w:val="bottom"/>
        <w:rPr>
          <w:rFonts w:ascii="仿宋_GB2312" w:hAnsi="宋体" w:eastAsia="仿宋_GB2312" w:cs="宋体"/>
          <w:b/>
          <w:bCs/>
          <w:color w:val="auto"/>
          <w:sz w:val="28"/>
          <w:szCs w:val="28"/>
        </w:rPr>
      </w:pPr>
      <w:r>
        <w:rPr>
          <w:rFonts w:hint="eastAsia" w:ascii="仿宋_GB2312" w:hAnsi="宋体" w:eastAsia="仿宋_GB2312" w:cs="宋体"/>
          <w:b/>
          <w:bCs/>
          <w:color w:val="auto"/>
          <w:sz w:val="28"/>
          <w:szCs w:val="28"/>
        </w:rPr>
        <w:t>（一）施工内容</w:t>
      </w:r>
    </w:p>
    <w:p>
      <w:pPr>
        <w:autoSpaceDE w:val="0"/>
        <w:autoSpaceDN w:val="0"/>
        <w:spacing w:line="500" w:lineRule="exact"/>
        <w:ind w:firstLine="560" w:firstLineChars="200"/>
        <w:textAlignment w:val="bottom"/>
        <w:rPr>
          <w:rFonts w:ascii="仿宋_GB2312" w:hAnsi="宋体" w:eastAsia="仿宋_GB2312" w:cs="宋体"/>
          <w:color w:val="auto"/>
          <w:sz w:val="28"/>
          <w:szCs w:val="28"/>
        </w:rPr>
      </w:pPr>
      <w:r>
        <w:rPr>
          <w:rFonts w:hint="eastAsia" w:ascii="仿宋_GB2312" w:hAnsi="宋体" w:eastAsia="仿宋_GB2312" w:cs="宋体"/>
          <w:color w:val="auto"/>
          <w:sz w:val="28"/>
          <w:szCs w:val="28"/>
        </w:rPr>
        <w:t>1、中标人应测量学校教室尺寸并绘制设计图，根据设计图更换教室灯和黑板灯。</w:t>
      </w:r>
    </w:p>
    <w:p>
      <w:pPr>
        <w:autoSpaceDE w:val="0"/>
        <w:autoSpaceDN w:val="0"/>
        <w:spacing w:line="500" w:lineRule="exact"/>
        <w:ind w:firstLine="560" w:firstLineChars="200"/>
        <w:textAlignment w:val="bottom"/>
        <w:rPr>
          <w:rFonts w:ascii="仿宋_GB2312" w:hAnsi="宋体" w:eastAsia="仿宋_GB2312" w:cs="宋体"/>
          <w:color w:val="auto"/>
          <w:sz w:val="28"/>
          <w:szCs w:val="28"/>
        </w:rPr>
      </w:pPr>
      <w:r>
        <w:rPr>
          <w:rFonts w:hint="eastAsia" w:ascii="仿宋_GB2312" w:hAnsi="宋体" w:eastAsia="仿宋_GB2312" w:cs="宋体"/>
          <w:color w:val="auto"/>
          <w:sz w:val="28"/>
          <w:szCs w:val="28"/>
        </w:rPr>
        <w:t>2、对原有教室灯和黑板灯进行拆除，更换符合改造要求的教室灯和黑板灯（含光源），黑板灯具和教室灯具应设各自独立电源开关。</w:t>
      </w:r>
    </w:p>
    <w:p>
      <w:pPr>
        <w:autoSpaceDE w:val="0"/>
        <w:autoSpaceDN w:val="0"/>
        <w:spacing w:line="500" w:lineRule="exact"/>
        <w:ind w:firstLine="560" w:firstLineChars="200"/>
        <w:textAlignment w:val="bottom"/>
        <w:rPr>
          <w:rFonts w:ascii="仿宋_GB2312" w:hAnsi="宋体" w:eastAsia="仿宋_GB2312" w:cs="宋体"/>
          <w:color w:val="auto"/>
          <w:sz w:val="28"/>
          <w:szCs w:val="28"/>
        </w:rPr>
      </w:pPr>
      <w:r>
        <w:rPr>
          <w:rFonts w:hint="eastAsia" w:ascii="仿宋_GB2312" w:hAnsi="宋体" w:eastAsia="仿宋_GB2312" w:cs="宋体"/>
          <w:color w:val="auto"/>
          <w:sz w:val="28"/>
          <w:szCs w:val="28"/>
        </w:rPr>
        <w:t>3、开槽、开洞</w:t>
      </w:r>
      <w:r>
        <w:rPr>
          <w:rFonts w:hint="eastAsia" w:ascii="仿宋_GB2312" w:hAnsi="宋体" w:eastAsia="仿宋_GB2312" w:cs="宋体"/>
          <w:bCs/>
          <w:color w:val="auto"/>
          <w:sz w:val="28"/>
          <w:szCs w:val="28"/>
        </w:rPr>
        <w:t>铺设线槽、敷设线路，设置电源开关</w:t>
      </w:r>
      <w:r>
        <w:rPr>
          <w:rFonts w:hint="eastAsia" w:ascii="仿宋_GB2312" w:hAnsi="宋体" w:eastAsia="仿宋_GB2312" w:cs="宋体"/>
          <w:color w:val="auto"/>
          <w:sz w:val="28"/>
          <w:szCs w:val="28"/>
        </w:rPr>
        <w:t xml:space="preserve">。 </w:t>
      </w:r>
    </w:p>
    <w:p>
      <w:pPr>
        <w:autoSpaceDE w:val="0"/>
        <w:autoSpaceDN w:val="0"/>
        <w:spacing w:line="500" w:lineRule="exact"/>
        <w:ind w:firstLine="560" w:firstLineChars="200"/>
        <w:textAlignment w:val="bottom"/>
        <w:rPr>
          <w:color w:val="auto"/>
        </w:rPr>
      </w:pPr>
      <w:r>
        <w:rPr>
          <w:rFonts w:hint="eastAsia" w:ascii="仿宋_GB2312" w:hAnsi="宋体" w:eastAsia="仿宋_GB2312" w:cs="宋体"/>
          <w:color w:val="auto"/>
          <w:sz w:val="28"/>
          <w:szCs w:val="28"/>
        </w:rPr>
        <w:t>4、恢复，恢复效果应基本与原装修效果保持一致、现场清理、垃圾外运。</w:t>
      </w:r>
    </w:p>
    <w:p>
      <w:pPr>
        <w:autoSpaceDE w:val="0"/>
        <w:autoSpaceDN w:val="0"/>
        <w:spacing w:line="500" w:lineRule="exact"/>
        <w:ind w:firstLine="562" w:firstLineChars="200"/>
        <w:textAlignment w:val="bottom"/>
        <w:rPr>
          <w:rFonts w:ascii="仿宋_GB2312" w:hAnsi="宋体" w:eastAsia="仿宋_GB2312" w:cs="宋体"/>
          <w:b/>
          <w:bCs/>
          <w:color w:val="auto"/>
          <w:sz w:val="28"/>
          <w:szCs w:val="28"/>
        </w:rPr>
      </w:pPr>
      <w:r>
        <w:rPr>
          <w:rFonts w:hint="eastAsia" w:ascii="仿宋_GB2312" w:hAnsi="宋体" w:eastAsia="仿宋_GB2312" w:cs="宋体"/>
          <w:b/>
          <w:bCs/>
          <w:color w:val="auto"/>
          <w:sz w:val="28"/>
          <w:szCs w:val="28"/>
        </w:rPr>
        <w:t>（二）样板间</w:t>
      </w:r>
    </w:p>
    <w:p>
      <w:pPr>
        <w:autoSpaceDE w:val="0"/>
        <w:autoSpaceDN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中标人在领取中标通知书后，采购人指定一间教室由中标人采用投标产品进行照明施工，施工时间为2天。样板间规格尺寸以现场测量为准。施工完毕后，委托有法定资质的第三方检测机构进行检测，检测费用由中标人承担。检测(查)完毕后，检测机构应向采购人出具检测报告。检测不合格的，采购人给予2周时间进行整改，整改后仍不合格的，采购人有权终止合同。检测(查)结果全部合格后，方可施工。</w:t>
      </w:r>
    </w:p>
    <w:p>
      <w:pPr>
        <w:autoSpaceDE w:val="0"/>
        <w:autoSpaceDN w:val="0"/>
        <w:spacing w:line="500" w:lineRule="exact"/>
        <w:ind w:firstLine="562" w:firstLineChars="200"/>
        <w:textAlignment w:val="bottom"/>
        <w:rPr>
          <w:rFonts w:ascii="仿宋_GB2312" w:hAnsi="宋体" w:eastAsia="仿宋_GB2312" w:cs="宋体"/>
          <w:b/>
          <w:bCs/>
          <w:color w:val="auto"/>
          <w:sz w:val="28"/>
          <w:szCs w:val="28"/>
        </w:rPr>
      </w:pPr>
      <w:r>
        <w:rPr>
          <w:rFonts w:hint="eastAsia" w:ascii="仿宋_GB2312" w:hAnsi="宋体" w:eastAsia="仿宋_GB2312" w:cs="宋体"/>
          <w:b/>
          <w:bCs/>
          <w:color w:val="auto"/>
          <w:sz w:val="28"/>
          <w:szCs w:val="28"/>
        </w:rPr>
        <w:t>（三）施工技术要求</w:t>
      </w:r>
    </w:p>
    <w:p>
      <w:pPr>
        <w:autoSpaceDE w:val="0"/>
        <w:autoSpaceDN w:val="0"/>
        <w:spacing w:line="500" w:lineRule="exact"/>
        <w:ind w:firstLine="562" w:firstLineChars="200"/>
        <w:textAlignment w:val="bottom"/>
        <w:rPr>
          <w:rFonts w:ascii="仿宋_GB2312" w:hAnsi="宋体" w:eastAsia="仿宋_GB2312" w:cs="宋体"/>
          <w:b/>
          <w:color w:val="auto"/>
          <w:sz w:val="28"/>
          <w:szCs w:val="28"/>
        </w:rPr>
      </w:pPr>
      <w:r>
        <w:rPr>
          <w:rFonts w:hint="eastAsia" w:ascii="仿宋_GB2312" w:hAnsi="宋体" w:eastAsia="仿宋_GB2312" w:cs="宋体"/>
          <w:b/>
          <w:color w:val="auto"/>
          <w:sz w:val="28"/>
          <w:szCs w:val="28"/>
        </w:rPr>
        <w:t>1、原灯具处理</w:t>
      </w:r>
    </w:p>
    <w:p>
      <w:pPr>
        <w:autoSpaceDE w:val="0"/>
        <w:autoSpaceDN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包含原有教室灯、黑板灯及配套设施的拆除。</w:t>
      </w:r>
    </w:p>
    <w:p>
      <w:pPr>
        <w:autoSpaceDE w:val="0"/>
        <w:autoSpaceDN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拆除的灯具及配套设施交学校处理，区分能继续正常使用的光源和不能正常使用的光源交学校留存，不能正常使用的光源，由学校负责进行处理。</w:t>
      </w:r>
    </w:p>
    <w:p>
      <w:pPr>
        <w:autoSpaceDE w:val="0"/>
        <w:autoSpaceDN w:val="0"/>
        <w:spacing w:line="500" w:lineRule="exact"/>
        <w:ind w:firstLine="562" w:firstLineChars="200"/>
        <w:textAlignment w:val="bottom"/>
        <w:rPr>
          <w:rFonts w:ascii="仿宋_GB2312" w:hAnsi="宋体" w:eastAsia="仿宋_GB2312" w:cs="宋体"/>
          <w:b/>
          <w:color w:val="auto"/>
          <w:sz w:val="28"/>
          <w:szCs w:val="28"/>
        </w:rPr>
      </w:pPr>
      <w:r>
        <w:rPr>
          <w:rFonts w:hint="eastAsia" w:ascii="仿宋_GB2312" w:hAnsi="宋体" w:eastAsia="仿宋_GB2312" w:cs="宋体"/>
          <w:b/>
          <w:color w:val="auto"/>
          <w:sz w:val="28"/>
          <w:szCs w:val="28"/>
        </w:rPr>
        <w:t>2、灯具安装</w:t>
      </w:r>
    </w:p>
    <w:p>
      <w:pPr>
        <w:autoSpaceDE w:val="0"/>
        <w:autoSpaceDN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教室灯具距课桌面的最低悬挂高度不应低于1.7m（教室层高或吊顶距地面垂直高度低于2.45 m除外）。当教室有吊扇时，灯具出光面不宜高于吊扇叶片高度。</w:t>
      </w:r>
    </w:p>
    <w:p>
      <w:pPr>
        <w:autoSpaceDE w:val="0"/>
        <w:autoSpaceDN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教室灯灯具排列采用长轴垂直于黑板面布置。因教室大梁（或横梁、吊顶主辅龙骨）、吊扇等位置影响或局限，教室灯具排列其长轴可以平行于黑板面布置，但应符合统一眩光值UGR≤16的要求。</w:t>
      </w:r>
    </w:p>
    <w:p>
      <w:pPr>
        <w:autoSpaceDE w:val="0"/>
        <w:autoSpaceDN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黑板灯灯具的发光口面中心点距黑板面上沿不应低于20cm，黑板灯具出光口中心与黑板书写面距离≤60cm，以防黑板灯具遮挡电子白板（或投影仪）或对授课老师产生直接眩光。</w:t>
      </w:r>
    </w:p>
    <w:p>
      <w:pPr>
        <w:autoSpaceDE w:val="0"/>
        <w:autoSpaceDN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新装灯具不得利用原有灯具的固定装置，需重新在教室顶安装固定装置。每盏灯应有两个吊杆，每根吊杆的固定配件应有两个固定螺栓进行固定，单个固定螺栓的直径不应小于6mm。在顶部实心处的固定应使用膨胀螺栓，在顶部空心处的固定应使用飞机膨胀螺栓。固定支架钢板厚度不小于1mm。灯具吊杆与楼板固定处应有装饰罩，并用螺丝固定。</w:t>
      </w:r>
    </w:p>
    <w:p>
      <w:pPr>
        <w:autoSpaceDE w:val="0"/>
        <w:autoSpaceDN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固定装置应按灯具重量的5倍恒定均布载荷进行强调试验，持续时间不小于15min。在灯具安装完毕后，对每根吊杆的固定配件用垂直向下100N的力进行强调试验，不应有移动、松动、摇晃等现象。</w:t>
      </w:r>
    </w:p>
    <w:p>
      <w:pPr>
        <w:autoSpaceDE w:val="0"/>
        <w:autoSpaceDN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教室顶棚与灯具连接必须采用金属吊杆连接固定，吊杆与教室顶棚的固定方式应保证灯具在受外力产生纵向或横向摆动时，不影响其安装的牢固度。灯具与吊杆、吊杆与上固定板之间必须用标准螺丝紧固固定，不得采用链条、钢丝或其他柔性方法连接。灯具安装后不得有明显歪斜、高低现象发生。</w:t>
      </w:r>
    </w:p>
    <w:p>
      <w:pPr>
        <w:autoSpaceDE w:val="0"/>
        <w:autoSpaceDN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可调节投射角度的黑板灯应标识满足黑板照明要求的调节装置设定位置，并能固定及保持正确角度，并固定及保持正确角度。教室灯具改造应注意与教室风扇等设施的兼容性，以保证各自的使用效果，教室灯具原则上应安装在风扇之下，以保证风扇转动时不影响照明效果。灯具反光器、格栅等重要反光部件不得留下指纹印或其他污渍。</w:t>
      </w:r>
    </w:p>
    <w:p>
      <w:pPr>
        <w:autoSpaceDE w:val="0"/>
        <w:autoSpaceDN w:val="0"/>
        <w:spacing w:line="500" w:lineRule="exact"/>
        <w:ind w:firstLine="562" w:firstLineChars="200"/>
        <w:textAlignment w:val="bottom"/>
        <w:rPr>
          <w:rFonts w:ascii="仿宋_GB2312" w:hAnsi="宋体" w:eastAsia="仿宋_GB2312" w:cs="宋体"/>
          <w:b/>
          <w:color w:val="auto"/>
          <w:sz w:val="28"/>
          <w:szCs w:val="28"/>
        </w:rPr>
      </w:pPr>
      <w:r>
        <w:rPr>
          <w:rFonts w:hint="eastAsia" w:ascii="仿宋_GB2312" w:hAnsi="宋体" w:eastAsia="仿宋_GB2312" w:cs="宋体"/>
          <w:b/>
          <w:color w:val="auto"/>
          <w:sz w:val="28"/>
          <w:szCs w:val="28"/>
        </w:rPr>
        <w:t>3、线路施工</w:t>
      </w:r>
    </w:p>
    <w:p>
      <w:pPr>
        <w:autoSpaceDE w:val="0"/>
        <w:autoSpaceDN w:val="0"/>
        <w:spacing w:line="500" w:lineRule="exact"/>
        <w:ind w:firstLine="562" w:firstLineChars="200"/>
        <w:textAlignment w:val="bottom"/>
        <w:rPr>
          <w:rFonts w:ascii="仿宋_GB2312" w:hAnsi="宋体" w:eastAsia="仿宋_GB2312" w:cs="宋体"/>
          <w:b/>
          <w:color w:val="auto"/>
          <w:sz w:val="28"/>
          <w:szCs w:val="28"/>
        </w:rPr>
      </w:pPr>
      <w:r>
        <w:rPr>
          <w:rFonts w:hint="eastAsia" w:ascii="仿宋_GB2312" w:hAnsi="宋体" w:eastAsia="仿宋_GB2312" w:cs="宋体"/>
          <w:b/>
          <w:color w:val="auto"/>
          <w:sz w:val="28"/>
          <w:szCs w:val="28"/>
        </w:rPr>
        <w:t>（1）电源线</w:t>
      </w:r>
    </w:p>
    <w:p>
      <w:pPr>
        <w:autoSpaceDE w:val="0"/>
        <w:autoSpaceDN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黑板灯和教室灯需要移动原有固定位置或者新添灯具数量的，需要重新铺设所需电源线。施工时应从原电源引出处更换足够长度的灯头电源线到灯具安装位置。电源线应采用截面积≥0.75mm</w:t>
      </w:r>
      <w:r>
        <w:rPr>
          <w:rFonts w:hint="eastAsia" w:ascii="仿宋_GB2312" w:hAnsi="宋体" w:eastAsia="仿宋_GB2312" w:cs="宋体"/>
          <w:bCs/>
          <w:color w:val="auto"/>
          <w:sz w:val="28"/>
          <w:szCs w:val="28"/>
          <w:vertAlign w:val="superscript"/>
        </w:rPr>
        <w:t>2</w:t>
      </w:r>
      <w:r>
        <w:rPr>
          <w:rFonts w:hint="eastAsia" w:ascii="仿宋_GB2312" w:hAnsi="宋体" w:eastAsia="仿宋_GB2312" w:cs="宋体"/>
          <w:bCs/>
          <w:color w:val="auto"/>
          <w:sz w:val="28"/>
          <w:szCs w:val="28"/>
        </w:rPr>
        <w:t>，电源布线应保证相线、零线、地线三线颜色一致，并加以区别。电源线两端与电源和灯具导线的连接必须用接线端子，接线端子不可悬空吊挂，应用螺丝进行固定。电源线除接线板及设备连接处外，连线中间要求无接头，导线绝缘保护良好，两电源线连接时导线连接应紧密、牢固，接头的电阻值不应大于相同长度导线的电阻值；两电源线接头的绝缘强度应与非连接处的绝缘强度相同。电源线置于吊杆中，不得缠绕于吊杆或悬空裸露在外。吊杆两端应有绝缘护套管保护。</w:t>
      </w:r>
    </w:p>
    <w:p>
      <w:pPr>
        <w:autoSpaceDE w:val="0"/>
        <w:autoSpaceDN w:val="0"/>
        <w:spacing w:line="500" w:lineRule="exact"/>
        <w:ind w:firstLine="562" w:firstLineChars="200"/>
        <w:textAlignment w:val="bottom"/>
        <w:rPr>
          <w:rFonts w:ascii="仿宋_GB2312" w:hAnsi="宋体" w:eastAsia="仿宋_GB2312" w:cs="宋体"/>
          <w:bCs/>
          <w:color w:val="auto"/>
          <w:sz w:val="28"/>
          <w:szCs w:val="28"/>
        </w:rPr>
      </w:pPr>
      <w:r>
        <w:rPr>
          <w:rFonts w:hint="eastAsia" w:ascii="仿宋_GB2312" w:hAnsi="宋体" w:eastAsia="仿宋_GB2312" w:cs="宋体"/>
          <w:b/>
          <w:bCs/>
          <w:color w:val="auto"/>
          <w:sz w:val="28"/>
          <w:szCs w:val="28"/>
        </w:rPr>
        <w:t>（2）</w:t>
      </w:r>
      <w:r>
        <w:rPr>
          <w:rFonts w:hint="eastAsia" w:ascii="仿宋_GB2312" w:hAnsi="宋体" w:eastAsia="仿宋_GB2312" w:cs="宋体"/>
          <w:b/>
          <w:color w:val="auto"/>
          <w:sz w:val="28"/>
          <w:szCs w:val="28"/>
        </w:rPr>
        <w:t>线槽</w:t>
      </w:r>
    </w:p>
    <w:p>
      <w:pPr>
        <w:autoSpaceDE w:val="0"/>
        <w:autoSpaceDN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墙面、顶面新铺电源线应放入阻燃PVC线槽内，槽内所有敷设线缆最大截面积之和不大于线槽截面的75%。线槽连接处要使用连接配件，槽体连接处应严密平整、无缝隙。</w:t>
      </w:r>
    </w:p>
    <w:p>
      <w:pPr>
        <w:autoSpaceDE w:val="0"/>
        <w:autoSpaceDN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线槽敷设应紧贴建筑物表面，线槽敷设走线横平竖直，槽沿经过建筑物表面进行固定。转弯与接缝处须有附件固定点，线槽每单段至少需要两个固定点；单段超过1米长时，平均每米至少需要两个固定点。固定采用膨胀螺丝或木楔子方式，禁止使用双面胶方式固定。</w:t>
      </w:r>
    </w:p>
    <w:p>
      <w:pPr>
        <w:autoSpaceDE w:val="0"/>
        <w:autoSpaceDN w:val="0"/>
        <w:spacing w:line="500" w:lineRule="exact"/>
        <w:ind w:firstLine="562" w:firstLineChars="200"/>
        <w:textAlignment w:val="bottom"/>
        <w:rPr>
          <w:rFonts w:ascii="仿宋_GB2312" w:hAnsi="宋体" w:eastAsia="仿宋_GB2312" w:cs="宋体"/>
          <w:bCs/>
          <w:color w:val="auto"/>
          <w:sz w:val="28"/>
          <w:szCs w:val="28"/>
        </w:rPr>
      </w:pPr>
      <w:r>
        <w:rPr>
          <w:rFonts w:hint="eastAsia" w:ascii="仿宋_GB2312" w:hAnsi="宋体" w:eastAsia="仿宋_GB2312" w:cs="宋体"/>
          <w:b/>
          <w:color w:val="auto"/>
          <w:sz w:val="28"/>
          <w:szCs w:val="28"/>
        </w:rPr>
        <w:t>（3）分路控制</w:t>
      </w:r>
    </w:p>
    <w:p>
      <w:pPr>
        <w:autoSpaceDE w:val="0"/>
        <w:autoSpaceDN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每个黑板灯具应由单独开关回路控制，教室灯具第一横排每个灯具应由单独开关回路控制，其余每一纵列灯具由独立开关回路控制。</w:t>
      </w:r>
    </w:p>
    <w:p>
      <w:pPr>
        <w:autoSpaceDE w:val="0"/>
        <w:autoSpaceDN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黑板灯不能与教室灯使用同一电源线和控制开关，教室改造时如黑板灯电源线与教室灯电源线未分开的，应重新铺设黑板灯的电源线和线槽；如黑板灯与教室灯控制开关未分开的，应加装（或调整）控制开关，最终能实现黑板灯与教室灯分路控制。</w:t>
      </w:r>
    </w:p>
    <w:p>
      <w:pPr>
        <w:autoSpaceDE w:val="0"/>
        <w:autoSpaceDN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原有教室灯间有分路控制时，改造时有增加、减少、移位应按原有灯具分路控制进行线路施工，保持改造后教室灯分路控制的一致性。</w:t>
      </w:r>
    </w:p>
    <w:p>
      <w:pPr>
        <w:pStyle w:val="2"/>
        <w:spacing w:after="0" w:line="500" w:lineRule="exact"/>
        <w:rPr>
          <w:rFonts w:ascii="仿宋_GB2312" w:hAnsi="宋体" w:eastAsia="仿宋_GB2312" w:cs="宋体"/>
          <w:bCs/>
          <w:color w:val="auto"/>
          <w:kern w:val="0"/>
          <w:sz w:val="28"/>
          <w:szCs w:val="28"/>
        </w:rPr>
      </w:pPr>
      <w:r>
        <w:rPr>
          <w:rFonts w:hint="eastAsia" w:ascii="仿宋_GB2312" w:hAnsi="宋体" w:eastAsia="仿宋_GB2312" w:cs="宋体"/>
          <w:bCs/>
          <w:color w:val="auto"/>
          <w:kern w:val="0"/>
          <w:sz w:val="28"/>
          <w:szCs w:val="28"/>
        </w:rPr>
        <w:t xml:space="preserve">   在以上基础上，实现教学多场景联动控制，协议为zigbee</w:t>
      </w:r>
      <w:r>
        <w:rPr>
          <w:rFonts w:hint="eastAsia" w:ascii="仿宋_GB2312" w:hAnsi="宋体" w:eastAsia="仿宋_GB2312" w:cs="宋体"/>
          <w:b/>
          <w:bCs/>
          <w:color w:val="auto"/>
          <w:sz w:val="28"/>
          <w:szCs w:val="28"/>
        </w:rPr>
        <w:t>、</w:t>
      </w:r>
      <w:r>
        <w:rPr>
          <w:rFonts w:hint="eastAsia" w:ascii="仿宋_GB2312" w:hAnsi="宋体" w:eastAsia="仿宋_GB2312" w:cs="宋体"/>
          <w:bCs/>
          <w:color w:val="auto"/>
          <w:kern w:val="0"/>
          <w:sz w:val="28"/>
          <w:szCs w:val="28"/>
        </w:rPr>
        <w:t>蓝牙或其他物联网通讯协议。</w:t>
      </w:r>
    </w:p>
    <w:p>
      <w:pPr>
        <w:autoSpaceDE w:val="0"/>
        <w:autoSpaceDN w:val="0"/>
        <w:spacing w:line="500" w:lineRule="exact"/>
        <w:ind w:firstLine="475" w:firstLineChars="169"/>
        <w:textAlignment w:val="bottom"/>
        <w:rPr>
          <w:rFonts w:ascii="仿宋_GB2312" w:hAnsi="宋体" w:eastAsia="仿宋_GB2312" w:cs="宋体"/>
          <w:b/>
          <w:color w:val="auto"/>
          <w:sz w:val="28"/>
          <w:szCs w:val="28"/>
        </w:rPr>
      </w:pPr>
      <w:r>
        <w:rPr>
          <w:rFonts w:hint="eastAsia" w:ascii="仿宋_GB2312" w:hAnsi="宋体" w:eastAsia="仿宋_GB2312" w:cs="宋体"/>
          <w:b/>
          <w:color w:val="auto"/>
          <w:sz w:val="28"/>
          <w:szCs w:val="28"/>
        </w:rPr>
        <w:t>（4）通电试运行</w:t>
      </w:r>
    </w:p>
    <w:p>
      <w:pPr>
        <w:autoSpaceDE w:val="0"/>
        <w:autoSpaceDN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灯具安装完毕后应通电试运行。检查灯具内光源运行是否正常，黑板灯投射方向及角度是否正确，灯具运行完好率应达到100%。</w:t>
      </w:r>
    </w:p>
    <w:p>
      <w:pPr>
        <w:autoSpaceDE w:val="0"/>
        <w:autoSpaceDN w:val="0"/>
        <w:adjustRightInd w:val="0"/>
        <w:spacing w:line="500" w:lineRule="exact"/>
        <w:ind w:firstLine="562" w:firstLineChars="200"/>
        <w:textAlignment w:val="bottom"/>
        <w:rPr>
          <w:rFonts w:ascii="仿宋_GB2312" w:hAnsi="宋体" w:eastAsia="仿宋_GB2312" w:cs="宋体"/>
          <w:bCs/>
          <w:color w:val="auto"/>
          <w:sz w:val="28"/>
          <w:szCs w:val="28"/>
        </w:rPr>
      </w:pPr>
      <w:r>
        <w:rPr>
          <w:rFonts w:hint="eastAsia" w:ascii="仿宋_GB2312" w:hAnsi="宋体" w:eastAsia="仿宋_GB2312" w:cs="宋体"/>
          <w:b/>
          <w:bCs/>
          <w:color w:val="auto"/>
          <w:sz w:val="28"/>
          <w:szCs w:val="28"/>
        </w:rPr>
        <w:t>4、随机抽检</w:t>
      </w:r>
    </w:p>
    <w:p>
      <w:pPr>
        <w:autoSpaceDE w:val="0"/>
        <w:autoSpaceDN w:val="0"/>
        <w:adjustRightInd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采购人抽定抽检对象，委托能出具含有CMA和CNAS标志检测报告的国家级资质检测机构进行检测，检测费用由中标人承担。检测(查)项目如下:</w:t>
      </w:r>
    </w:p>
    <w:p>
      <w:pPr>
        <w:autoSpaceDE w:val="0"/>
        <w:autoSpaceDN w:val="0"/>
        <w:adjustRightInd w:val="0"/>
        <w:spacing w:line="500" w:lineRule="exact"/>
        <w:ind w:firstLine="562" w:firstLineChars="200"/>
        <w:textAlignment w:val="bottom"/>
        <w:rPr>
          <w:rFonts w:ascii="仿宋_GB2312" w:hAnsi="宋体" w:eastAsia="仿宋_GB2312" w:cs="宋体"/>
          <w:bCs/>
          <w:color w:val="auto"/>
          <w:sz w:val="28"/>
          <w:szCs w:val="28"/>
        </w:rPr>
      </w:pPr>
      <w:r>
        <w:rPr>
          <w:rFonts w:hint="eastAsia" w:ascii="仿宋_GB2312" w:hAnsi="宋体" w:eastAsia="仿宋_GB2312" w:cs="宋体"/>
          <w:b/>
          <w:bCs/>
          <w:color w:val="auto"/>
          <w:sz w:val="28"/>
          <w:szCs w:val="28"/>
        </w:rPr>
        <w:t>（1）产品抽检</w:t>
      </w:r>
    </w:p>
    <w:p>
      <w:pPr>
        <w:autoSpaceDE w:val="0"/>
        <w:autoSpaceDN w:val="0"/>
        <w:adjustRightInd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中标人发货到校，整个施工工期内，采购人有权对教室灯和黑板灯灯具随机进行抽检。</w:t>
      </w:r>
    </w:p>
    <w:p>
      <w:pPr>
        <w:autoSpaceDE w:val="0"/>
        <w:autoSpaceDN w:val="0"/>
        <w:adjustRightInd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抽检数量:中标人分别抽检黑板灯灯具、教室灯灯具各2套。</w:t>
      </w:r>
    </w:p>
    <w:p>
      <w:pPr>
        <w:autoSpaceDE w:val="0"/>
        <w:autoSpaceDN w:val="0"/>
        <w:adjustRightInd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检测项目：灯具的</w:t>
      </w:r>
      <w:r>
        <w:rPr>
          <w:rFonts w:hint="eastAsia" w:ascii="仿宋_GB2312" w:hAnsi="宋体" w:eastAsia="仿宋_GB2312" w:cs="宋体"/>
          <w:color w:val="auto"/>
          <w:sz w:val="28"/>
          <w:szCs w:val="28"/>
          <w:lang w:val="zh-CN"/>
        </w:rPr>
        <w:t>光源色温、蓝光危害等级、光频闪危害、显色指数、整灯功率、功率因数、电磁辐射</w:t>
      </w:r>
      <w:r>
        <w:rPr>
          <w:rFonts w:hint="eastAsia" w:ascii="仿宋_GB2312" w:hAnsi="宋体" w:eastAsia="仿宋_GB2312" w:cs="宋体"/>
          <w:bCs/>
          <w:color w:val="auto"/>
          <w:sz w:val="28"/>
          <w:szCs w:val="28"/>
        </w:rPr>
        <w:t>。</w:t>
      </w:r>
    </w:p>
    <w:p>
      <w:pPr>
        <w:autoSpaceDE w:val="0"/>
        <w:autoSpaceDN w:val="0"/>
        <w:adjustRightInd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抽检产品的检测报告与投标产品检测报告进行比对，如有指标出现负偏离，采购人有权要求中标人进行整改，情节严重的，甚至取消中标资格。</w:t>
      </w:r>
    </w:p>
    <w:p>
      <w:pPr>
        <w:autoSpaceDE w:val="0"/>
        <w:autoSpaceDN w:val="0"/>
        <w:adjustRightInd w:val="0"/>
        <w:spacing w:line="500" w:lineRule="exact"/>
        <w:ind w:firstLine="562" w:firstLineChars="200"/>
        <w:textAlignment w:val="bottom"/>
        <w:rPr>
          <w:rFonts w:ascii="仿宋_GB2312" w:hAnsi="宋体" w:eastAsia="仿宋_GB2312" w:cs="宋体"/>
          <w:bCs/>
          <w:color w:val="auto"/>
          <w:sz w:val="28"/>
          <w:szCs w:val="28"/>
        </w:rPr>
      </w:pPr>
      <w:r>
        <w:rPr>
          <w:rFonts w:hint="eastAsia" w:ascii="仿宋_GB2312" w:hAnsi="宋体" w:eastAsia="仿宋_GB2312" w:cs="宋体"/>
          <w:b/>
          <w:bCs/>
          <w:color w:val="auto"/>
          <w:sz w:val="28"/>
          <w:szCs w:val="28"/>
        </w:rPr>
        <w:t>（2）教室整体环境检测(查)</w:t>
      </w:r>
    </w:p>
    <w:p>
      <w:pPr>
        <w:autoSpaceDE w:val="0"/>
        <w:autoSpaceDN w:val="0"/>
        <w:adjustRightInd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施工完毕后，对教室整体灯光环境进行抽检，检测（查）的内容同样板间一致。</w:t>
      </w:r>
    </w:p>
    <w:p>
      <w:pPr>
        <w:autoSpaceDE w:val="0"/>
        <w:autoSpaceDN w:val="0"/>
        <w:adjustRightInd w:val="0"/>
        <w:spacing w:line="500" w:lineRule="exact"/>
        <w:ind w:firstLine="560" w:firstLineChars="200"/>
        <w:textAlignment w:val="bottom"/>
        <w:rPr>
          <w:rFonts w:ascii="仿宋_GB2312" w:hAnsi="宋体" w:eastAsia="仿宋_GB2312" w:cs="宋体"/>
          <w:bCs/>
          <w:color w:val="auto"/>
          <w:sz w:val="28"/>
          <w:szCs w:val="28"/>
        </w:rPr>
      </w:pPr>
      <w:r>
        <w:rPr>
          <w:rFonts w:hint="eastAsia" w:ascii="仿宋_GB2312" w:hAnsi="宋体" w:eastAsia="仿宋_GB2312" w:cs="宋体"/>
          <w:bCs/>
          <w:color w:val="auto"/>
          <w:sz w:val="28"/>
          <w:szCs w:val="28"/>
        </w:rPr>
        <w:t>抽检结果必须合格。如出现抽检不合格，采购人有权要求中标人进行整改，整改完成后，以抽检不合格数量加一倍继续抽检，直至抽检合格。</w:t>
      </w:r>
    </w:p>
    <w:p>
      <w:pPr>
        <w:adjustRightInd w:val="0"/>
        <w:spacing w:line="500" w:lineRule="exact"/>
        <w:ind w:firstLine="560" w:firstLineChars="200"/>
        <w:rPr>
          <w:rFonts w:ascii="仿宋_GB2312" w:hAnsi="宋体" w:eastAsia="仿宋_GB2312" w:cs="宋体"/>
          <w:color w:val="auto"/>
          <w:sz w:val="28"/>
          <w:szCs w:val="28"/>
        </w:rPr>
      </w:pPr>
      <w:r>
        <w:rPr>
          <w:rFonts w:hint="eastAsia" w:ascii="仿宋_GB2312" w:hAnsi="宋体" w:eastAsia="仿宋_GB2312" w:cs="宋体"/>
          <w:bCs/>
          <w:color w:val="auto"/>
          <w:sz w:val="28"/>
          <w:szCs w:val="28"/>
        </w:rPr>
        <w:t>如中标人整改未解决问题的，采购人有权单方面提前终止合同，对中标人不作任何赔偿或补偿。</w:t>
      </w:r>
      <w:r>
        <w:rPr>
          <w:rFonts w:ascii="仿宋_GB2312" w:hAnsi="宋体" w:eastAsia="仿宋_GB2312" w:cs="宋体"/>
          <w:bCs/>
          <w:color w:val="auto"/>
          <w:sz w:val="28"/>
          <w:szCs w:val="28"/>
        </w:rPr>
        <w:br w:type="textWrapping"/>
      </w:r>
      <w:r>
        <w:rPr>
          <w:rFonts w:hint="eastAsia" w:ascii="仿宋_GB2312" w:hAnsi="宋体" w:eastAsia="仿宋_GB2312" w:cs="宋体"/>
          <w:b/>
          <w:bCs/>
          <w:color w:val="auto"/>
          <w:sz w:val="28"/>
          <w:szCs w:val="28"/>
        </w:rPr>
        <w:t xml:space="preserve">   （四）售后技术服务要求</w:t>
      </w:r>
    </w:p>
    <w:p>
      <w:pPr>
        <w:adjustRightInd w:val="0"/>
        <w:spacing w:line="500" w:lineRule="exact"/>
        <w:ind w:firstLine="562" w:firstLineChars="200"/>
        <w:rPr>
          <w:rFonts w:ascii="仿宋_GB2312" w:hAnsi="宋体" w:eastAsia="仿宋_GB2312" w:cs="宋体"/>
          <w:color w:val="auto"/>
          <w:sz w:val="28"/>
          <w:szCs w:val="28"/>
        </w:rPr>
      </w:pPr>
      <w:r>
        <w:rPr>
          <w:rFonts w:hint="eastAsia" w:ascii="仿宋_GB2312" w:hAnsi="宋体" w:eastAsia="仿宋_GB2312" w:cs="宋体"/>
          <w:b/>
          <w:color w:val="auto"/>
          <w:sz w:val="28"/>
          <w:szCs w:val="28"/>
        </w:rPr>
        <w:t>1、</w:t>
      </w:r>
      <w:r>
        <w:rPr>
          <w:rFonts w:hint="eastAsia" w:ascii="仿宋_GB2312" w:hAnsi="宋体" w:eastAsia="仿宋_GB2312" w:cs="宋体"/>
          <w:color w:val="auto"/>
          <w:sz w:val="28"/>
          <w:szCs w:val="28"/>
        </w:rPr>
        <w:t>在质量保证期内，中标人应免费提供货物正常使用情况下的维修及保养服务，在非人为因素情况下，一切维护费用均由中标人负责。质量保证期内货物本身质量出现问题或由于货物本身质量原因造成的任何损伤或损坏，中标人应及时给予免费维修或免费更换，由此引起的施工费、人工费、材料费等一切费用由中标人负责。</w:t>
      </w:r>
    </w:p>
    <w:p>
      <w:pPr>
        <w:adjustRightInd w:val="0"/>
        <w:spacing w:line="500" w:lineRule="exact"/>
        <w:ind w:firstLine="560" w:firstLineChars="200"/>
        <w:rPr>
          <w:rFonts w:ascii="仿宋_GB2312" w:hAnsi="宋体" w:eastAsia="仿宋_GB2312" w:cs="宋体"/>
          <w:color w:val="auto"/>
          <w:sz w:val="28"/>
          <w:szCs w:val="28"/>
        </w:rPr>
      </w:pPr>
      <w:r>
        <w:rPr>
          <w:rFonts w:hint="eastAsia" w:ascii="仿宋_GB2312" w:hAnsi="宋体" w:eastAsia="仿宋_GB2312" w:cs="宋体"/>
          <w:color w:val="auto"/>
          <w:sz w:val="28"/>
          <w:szCs w:val="28"/>
        </w:rPr>
        <w:t xml:space="preserve">2、投标人应提供技术支持方案。                                                                         </w:t>
      </w:r>
    </w:p>
    <w:p>
      <w:pPr>
        <w:adjustRightInd w:val="0"/>
        <w:spacing w:line="500" w:lineRule="exact"/>
        <w:ind w:firstLine="560" w:firstLineChars="200"/>
        <w:rPr>
          <w:rFonts w:ascii="仿宋_GB2312" w:hAnsi="宋体" w:eastAsia="仿宋_GB2312" w:cs="宋体"/>
          <w:color w:val="auto"/>
          <w:sz w:val="28"/>
          <w:szCs w:val="28"/>
        </w:rPr>
      </w:pPr>
      <w:r>
        <w:rPr>
          <w:rFonts w:hint="eastAsia" w:ascii="仿宋_GB2312" w:hAnsi="宋体" w:eastAsia="仿宋_GB2312" w:cs="宋体"/>
          <w:color w:val="auto"/>
          <w:sz w:val="28"/>
          <w:szCs w:val="28"/>
        </w:rPr>
        <w:t>3、质量保证期内提供免费上门维护、升级服务，如设备出现故障，供货单位在接到电话后，立即响应，8小时以内到现场处理，12小时内修复，现场不能修复的，必须采取无偿提供采购物品的备用件或整机等措施，以保证用户单位的正常使用。</w:t>
      </w:r>
    </w:p>
    <w:p>
      <w:pPr>
        <w:adjustRightInd w:val="0"/>
        <w:spacing w:line="500" w:lineRule="exact"/>
        <w:ind w:firstLine="560" w:firstLineChars="200"/>
        <w:rPr>
          <w:rFonts w:ascii="仿宋_GB2312" w:hAnsi="宋体" w:eastAsia="仿宋_GB2312" w:cs="宋体"/>
          <w:color w:val="auto"/>
          <w:sz w:val="28"/>
          <w:szCs w:val="28"/>
        </w:rPr>
      </w:pPr>
      <w:r>
        <w:rPr>
          <w:rFonts w:hint="eastAsia" w:ascii="仿宋_GB2312" w:hAnsi="宋体" w:eastAsia="仿宋_GB2312" w:cs="宋体"/>
          <w:color w:val="auto"/>
          <w:sz w:val="28"/>
          <w:szCs w:val="28"/>
        </w:rPr>
        <w:t>4、货物不符质量要求，致使不能实现合同目的，采购人可拒收货物。采购人拒收货物或者解除合同的，标的物毁损、丢失的风险由中标供应商承担。</w:t>
      </w:r>
    </w:p>
    <w:p>
      <w:pPr>
        <w:adjustRightInd w:val="0"/>
        <w:spacing w:line="500" w:lineRule="exact"/>
        <w:ind w:firstLine="560" w:firstLineChars="200"/>
        <w:rPr>
          <w:rFonts w:ascii="仿宋_GB2312" w:hAnsi="宋体" w:eastAsia="仿宋_GB2312" w:cs="宋体"/>
          <w:color w:val="auto"/>
          <w:sz w:val="28"/>
          <w:szCs w:val="28"/>
        </w:rPr>
      </w:pPr>
      <w:r>
        <w:rPr>
          <w:rFonts w:hint="eastAsia" w:ascii="仿宋_GB2312" w:hAnsi="宋体" w:eastAsia="仿宋_GB2312" w:cs="宋体"/>
          <w:color w:val="auto"/>
          <w:sz w:val="28"/>
          <w:szCs w:val="28"/>
        </w:rPr>
        <w:t>5、中标供应商在所有货物的到货、安装和验收期间应接受采购人的协调和管理，中标供应商应采取严格的安全措施，承担由于自身原因所造成的事故责任及其发生的一切费用。</w:t>
      </w:r>
    </w:p>
    <w:p>
      <w:pPr>
        <w:adjustRightInd w:val="0"/>
        <w:spacing w:line="500" w:lineRule="exact"/>
        <w:ind w:firstLine="560" w:firstLineChars="200"/>
        <w:rPr>
          <w:rFonts w:ascii="仿宋_GB2312" w:hAnsi="宋体" w:eastAsia="仿宋_GB2312" w:cs="宋体"/>
          <w:color w:val="auto"/>
          <w:sz w:val="28"/>
          <w:szCs w:val="28"/>
        </w:rPr>
      </w:pPr>
      <w:r>
        <w:rPr>
          <w:rFonts w:hint="eastAsia" w:ascii="仿宋_GB2312" w:hAnsi="宋体" w:eastAsia="仿宋_GB2312" w:cs="宋体"/>
          <w:color w:val="auto"/>
          <w:sz w:val="28"/>
          <w:szCs w:val="28"/>
        </w:rPr>
        <w:t>6、采购人有权从已安装的灯具中抽取检2支教室灯和2支黑板灯到有法定的国家级资质检测机构（能出具的含有CMA和CNAS标志的检测报告)进行一次检测，检测费用由中标供应商承担。若不满足招标文件要求的应及时整改或更换。</w:t>
      </w:r>
    </w:p>
    <w:p>
      <w:pPr>
        <w:adjustRightInd w:val="0"/>
        <w:spacing w:line="500" w:lineRule="exact"/>
        <w:ind w:firstLine="560" w:firstLineChars="200"/>
        <w:rPr>
          <w:rFonts w:ascii="仿宋_GB2312" w:hAnsi="宋体" w:eastAsia="仿宋_GB2312" w:cs="宋体"/>
          <w:color w:val="auto"/>
          <w:sz w:val="28"/>
          <w:szCs w:val="28"/>
        </w:rPr>
      </w:pPr>
      <w:r>
        <w:rPr>
          <w:rFonts w:hint="eastAsia" w:ascii="仿宋_GB2312" w:hAnsi="宋体" w:eastAsia="仿宋_GB2312" w:cs="宋体"/>
          <w:color w:val="auto"/>
          <w:sz w:val="28"/>
          <w:szCs w:val="28"/>
        </w:rPr>
        <w:t>7、中标人自质保期过后，需以优惠价格提供原厂生产的产品维修或零件更换服务。</w:t>
      </w:r>
    </w:p>
    <w:p>
      <w:pPr>
        <w:adjustRightInd w:val="0"/>
        <w:spacing w:line="500" w:lineRule="exact"/>
        <w:ind w:firstLine="560" w:firstLineChars="200"/>
        <w:rPr>
          <w:rFonts w:ascii="仿宋_GB2312" w:hAnsi="宋体" w:eastAsia="仿宋_GB2312" w:cs="宋体"/>
          <w:color w:val="auto"/>
          <w:sz w:val="28"/>
          <w:szCs w:val="28"/>
        </w:rPr>
      </w:pPr>
      <w:r>
        <w:rPr>
          <w:rFonts w:hint="eastAsia" w:ascii="仿宋_GB2312" w:hAnsi="宋体" w:eastAsia="仿宋_GB2312" w:cs="宋体"/>
          <w:color w:val="auto"/>
          <w:sz w:val="28"/>
          <w:szCs w:val="28"/>
        </w:rPr>
        <w:t>8、完整准确地表述原厂家的标准售后服务承诺（范围、标准及期限等）、投标人可能增加的售后服务承诺等。</w:t>
      </w:r>
    </w:p>
    <w:p>
      <w:pPr>
        <w:adjustRightInd w:val="0"/>
        <w:spacing w:line="500" w:lineRule="exact"/>
        <w:ind w:firstLine="560" w:firstLineChars="200"/>
        <w:rPr>
          <w:rFonts w:ascii="仿宋_GB2312" w:hAnsi="宋体" w:eastAsia="仿宋_GB2312" w:cs="宋体"/>
          <w:bCs/>
          <w:color w:val="auto"/>
          <w:sz w:val="28"/>
          <w:szCs w:val="28"/>
        </w:rPr>
      </w:pPr>
      <w:r>
        <w:rPr>
          <w:rFonts w:hint="eastAsia" w:ascii="仿宋_GB2312" w:hAnsi="宋体" w:eastAsia="仿宋_GB2312" w:cs="宋体"/>
          <w:color w:val="auto"/>
          <w:sz w:val="28"/>
          <w:szCs w:val="28"/>
        </w:rPr>
        <w:t>9、明示服务承诺可能涉及的前提设定和费用，否则将被认为是无条件和免费的。</w:t>
      </w:r>
    </w:p>
    <w:p>
      <w:pPr>
        <w:pStyle w:val="2"/>
        <w:spacing w:beforeLines="50"/>
        <w:rPr>
          <w:rFonts w:ascii="黑体" w:hAnsi="黑体" w:eastAsia="黑体"/>
          <w:color w:val="auto"/>
          <w:sz w:val="30"/>
          <w:szCs w:val="30"/>
        </w:rPr>
      </w:pPr>
      <w:r>
        <w:rPr>
          <w:rFonts w:hint="eastAsia" w:ascii="黑体" w:hAnsi="黑体" w:eastAsia="黑体"/>
          <w:color w:val="auto"/>
          <w:sz w:val="30"/>
          <w:szCs w:val="30"/>
        </w:rPr>
        <w:t>六、一般要求</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1、本章要求只是货物及安装的一些原则性规定，并不是详尽的要求，投标人有责任对所提供货物的符合性负责。</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2、采购的货物所涉及的标准、规范、规程等，应符合国家有关规定，如有新的标准应采纳新标准，如是国外相应标准应征得采购人认可。</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3、投标人应根据招标文件所提出的技术规格、参数、数量和服务要求，综合考虑货物的适应性，选择具有最佳性能价格比的货物前来报价。希望投标人以精良的货物、优良的服务和优惠的价格，充分显示自身的竞争实力。</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4、投标人可以根据自己的技术和商务优势进行报价，但不允许将本项目拆分报价或仅对其中部分货物进行报价，谢绝联合体参加投标。</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5、投标人参加投标货物及主要部件的名称、品牌、型号、技术参数、性能、数量、单价、合价、厂商、产地、质保期等应在投标文件中明确，对招标文件的技术条款及要求予以实质性响应，如有偏离应在偏离表中注明。</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6、投标人必须自行为其参加投标货物侵犯其他投标人或专利人的专利成果承担相应法律责任；同时，具有产品专利的投标人应在其投标文件中提供与其自有产品专利相关的有效证明材料，否则，不能就其产品的专利在本项目采购过程中被侵权问题提出异议。</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7、凡需在建筑物墙壁或天棚或楼地面固定的货物或需要支撑的货物，其所需支架、吊架、减震台座等物品或配件，以及支架、吊架、减振台座等物品的制作、除锈、烤漆、喷漆、安装等，无论采购需求一览表中是否表述清楚，投标人均应在报价中包含，在中标后，采购人不再因任何原因而予以追加费用。</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8、供应商（中标人）在货物安装前应与采购人接洽，确定可以安装的、能够确保安全（含货物安装及建筑物安全）的位置，确保货物牢固、可靠的与建筑物安全连接。</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9、若由于采购人建筑物原因，不能将货物安装到理想位置或货物需要设置专用电源或插座系统的，需要更改水电线路或开槽埋管引线的或增加延长管道电线等，由供应商（中标人）负责完成并恢复，其费用人工费、材料费、机械费、管理费及利润、税金等全部在投标报价中综合考虑，采购人不再另行支付费用。</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10、对于货物需要设置基础的，其土建、安装、基础槽钢或型钢等均由供应商（中标人）承担。</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11、全部货物报价中均须包含安装、调试以及相关辅助材料，所报价格必须为交付使用价格，任何遗漏或不能达到交付使用效果的货物、价格，中标后采购人均按交付使用价格考虑，不再因任何原因予以追加或更改，但货物数量采购人可在政府采购规定允许范围内予以调整。</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12、全部货物均须保证其安全使用性能的良好性、可靠性、环保性、节能性，凡货物在使用过程中因质量问题（或性能问题、或质量问题、或安全性问题、或环保性问题等），供应商（中标人）应无条件的在采购人规定时间内予以调换，因货物安全性能问题导致事故的采购人将追究供应商（中标人）相关责任。</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13、投标人应提供全新的、未使用的、原装正品货物（拒绝水货、翻新货物），若为含甲醛等有毒元素的货物则应超过甲醛等有毒元素的正常挥发期，确保用户安全放心使用，不得将有毒元素超标的货物交采购人验收，否则采购人将采取严厉措施予以处理，无论采购人采取何种措施处罚，供应商（中标人）必须无条件接受。</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供应商（中标人）在交货时应随货物提供制造商或厂商出具的合格证书、国家实行生产许可的应提交生产许可证，国家实行强制认证的应提交强制认证证书，国家实行计量检测认证的应提交计量检测体系合格证书。货物的技术参数及配置情况必须由供应商（中标人）提供国家相关检测机构出具的检验报告、生产厂家公开发布的印刷资料等技术资料予以支持。</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14、参加投标货物若需软件设计或软件支持的，所有应用软件必须为正版软件，采购人拒绝非正版软件。</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15、根据本项目采购需求及国家相关规定，凡应提供相关经营许可、代理、经销、授权、质量认证、环境认证、检测报告等必须资料的，供应商（中标人）在货物交付验收时应按照相关要求提供，否则采购人有权拒绝验收和支付款项。</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16、货物的生产、安装、维修、检验、验收等按照以下原则执行：有国家标准的执行国家标准；无国家标准的执行行业标准；无行业标准的执行地方标准；无地方标准的执行企业标准。</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17、供应商（中标人）应派专业技术人员到采购人指定的地点对采购人的管理人员进行使用操作、维修、保养 等技术的现场培训，直至采购人的管理人员能熟练独立工作。供应商（中标人）委派的专业技术人员所需费用均由供应商（中标人）承担。</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18、所供货物必须是具有合法来源、质量合格、环保指标达到国家相关标准、符合国家相关规定的产品，凡因货物本身或其相关事宜引起的责任事故均由供应商（中标人）承担。</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19、货物性能稳定、具有良好的使用效果，质量保证措施完善，符合国家相关标准及认证管理制度。</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20、投标人必须保证采购人在使用货物或其任何部分时免受第三方提出侵犯其专利权、商标权或版权或工业设计权的起诉，凡因此引起的一切事宜及费用均由投标人承担。</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21、投标人不得将从第三方采购设备的随机备品、备件列为需要另行收费的备品、备件，否则在授予合同时将从成交价中扣除这部分费用，但在计算评审价时这部分费用将不予扣除。</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22、投标人应根据货物的技术状况列出随机备品备件的清单和数量，并将该备品备件价格计入报价，若所提供的产品无需备件，则应在投标文件中说明；无论投标人在报价中列明专用工具和随机备品备件的数量及价格多少或未按上述要求计入报价或未按上述要求在投标文件中予以说明，在免费质保期内，采购人均无须为维护维修保养所需的专用工具和备品备件另行支付费用（人为损坏除外）。</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23、技术文件：供应商（中标人）负责将货物的有关技术文件（外文应提供中文翻译资料，下同）、资料、测试、中文操作说明书、验收报告等汇集成册交付采购人。</w:t>
      </w:r>
    </w:p>
    <w:p>
      <w:pPr>
        <w:pStyle w:val="2"/>
        <w:spacing w:beforeLines="50"/>
        <w:rPr>
          <w:rFonts w:ascii="黑体" w:hAnsi="黑体" w:eastAsia="黑体"/>
          <w:color w:val="auto"/>
          <w:sz w:val="30"/>
          <w:szCs w:val="30"/>
        </w:rPr>
      </w:pPr>
      <w:r>
        <w:rPr>
          <w:rFonts w:hint="eastAsia" w:ascii="黑体" w:hAnsi="黑体" w:eastAsia="黑体"/>
          <w:color w:val="auto"/>
          <w:sz w:val="30"/>
          <w:szCs w:val="30"/>
        </w:rPr>
        <w:t>七、商务要求</w:t>
      </w:r>
    </w:p>
    <w:p>
      <w:pPr>
        <w:spacing w:line="500" w:lineRule="exact"/>
        <w:ind w:firstLine="562" w:firstLineChars="200"/>
        <w:rPr>
          <w:rFonts w:ascii="仿宋_GB2312" w:hAnsi="宋体" w:eastAsia="仿宋_GB2312" w:cs="宋体"/>
          <w:b/>
          <w:color w:val="auto"/>
          <w:kern w:val="0"/>
          <w:sz w:val="28"/>
          <w:szCs w:val="28"/>
        </w:rPr>
      </w:pPr>
      <w:r>
        <w:rPr>
          <w:rFonts w:hint="eastAsia" w:ascii="仿宋_GB2312" w:hAnsi="宋体" w:eastAsia="仿宋_GB2312" w:cs="宋体"/>
          <w:b/>
          <w:color w:val="auto"/>
          <w:kern w:val="0"/>
          <w:sz w:val="28"/>
          <w:szCs w:val="28"/>
        </w:rPr>
        <w:t>1、★交货地点：采购人指定地点。</w:t>
      </w:r>
    </w:p>
    <w:p>
      <w:pPr>
        <w:spacing w:line="50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2、交货期：</w:t>
      </w:r>
      <w:r>
        <w:rPr>
          <w:rFonts w:hint="eastAsia" w:ascii="仿宋_GB2312" w:hAnsi="宋体" w:eastAsia="仿宋_GB2312" w:cs="宋体"/>
          <w:color w:val="auto"/>
          <w:kern w:val="0"/>
          <w:sz w:val="28"/>
          <w:szCs w:val="28"/>
          <w:u w:val="single"/>
        </w:rPr>
        <w:t xml:space="preserve"> 30 </w:t>
      </w:r>
      <w:r>
        <w:rPr>
          <w:rFonts w:hint="eastAsia" w:ascii="仿宋_GB2312" w:hAnsi="宋体" w:eastAsia="仿宋_GB2312" w:cs="宋体"/>
          <w:color w:val="auto"/>
          <w:kern w:val="0"/>
          <w:sz w:val="28"/>
          <w:szCs w:val="28"/>
        </w:rPr>
        <w:t>日历天，全部采购内容应在合同约定的交货期内安装、调试、检测完毕并经验收、交付使用，逾期按违约处理。</w:t>
      </w:r>
    </w:p>
    <w:p>
      <w:pPr>
        <w:adjustRightInd w:val="0"/>
        <w:spacing w:line="500" w:lineRule="exact"/>
        <w:ind w:firstLine="562" w:firstLineChars="200"/>
        <w:rPr>
          <w:rFonts w:ascii="仿宋_GB2312" w:hAnsi="宋体" w:eastAsia="仿宋_GB2312" w:cs="宋体"/>
          <w:b/>
          <w:color w:val="auto"/>
          <w:kern w:val="0"/>
          <w:sz w:val="28"/>
          <w:szCs w:val="28"/>
        </w:rPr>
      </w:pPr>
      <w:r>
        <w:rPr>
          <w:rFonts w:hint="eastAsia" w:ascii="仿宋_GB2312" w:hAnsi="宋体" w:eastAsia="仿宋_GB2312" w:cs="宋体"/>
          <w:b/>
          <w:color w:val="auto"/>
          <w:kern w:val="0"/>
          <w:sz w:val="28"/>
          <w:szCs w:val="28"/>
        </w:rPr>
        <w:t>3、★质保期：全部货物质保期至少3年（自全部货物验收合格之日起算）；质保期内因产品本身缺陷（非人为因素）造成各种故障应由中标人免费技术服务和维修直至更换，费用由中标人承担。</w:t>
      </w:r>
    </w:p>
    <w:p>
      <w:pPr>
        <w:adjustRightInd w:val="0"/>
        <w:spacing w:line="50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质保期满后，采购人可以委托具有相关资质的第三方实行全面检测，如具体指标（桌面及黑板照度，色温，显指，频闪，蓝光等）达不到国标要求，全校的照明需要整体换新，同时采购人将保留法律诉讼的权利</w:t>
      </w:r>
    </w:p>
    <w:p>
      <w:pPr>
        <w:spacing w:line="50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4、合同价款</w:t>
      </w:r>
    </w:p>
    <w:p>
      <w:pPr>
        <w:spacing w:line="50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本项目为运至采购人指定地点并经安装、调试（或试运转）、检测、验收合格、交付使用价格。</w:t>
      </w:r>
    </w:p>
    <w:p>
      <w:pPr>
        <w:spacing w:line="50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投标人的报价是投标人响应招标项目要求的全部工作内容的价格体现，包含但不仅限于：所需全部货物（含货物设计、制造、供货、样品、附件、备品备件、易损件、工具、包装、运输、保险、检验试验、仓储保管、装卸、税金等）、测量费、设计费、拆除费、安装费、调试费、检测、验收（含第三方检测和验收）、技术服务、技术培训、恢复原状费、售后服务费、管理费、利润、风险、劳动保护费、防暑降温费、特殊季节施工增加费、特殊环境施工增加费、二次搬运费、测量放线费、定位复测费、检验试验费、成品保护费、安全文明施工费、临时设施费、大型机械进出场费、环境保护费、治污减霾费、垃圾清运费、协调费、养老保险、社会统筹、保险、税金、附加费、保修费、采购代理服务费、政府文件规定费用及招标文件明示或暗示的全部费用（包括人工、材料、机械等价格上涨风险费用），同时还应充分考虑为完成本项目所需的其他一切成本、利润、税金和风险。</w:t>
      </w:r>
    </w:p>
    <w:p>
      <w:pPr>
        <w:spacing w:line="50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投标人在所报单价或总价中还应综合考虑智能LED教室灯、智能教室黑板灯、光环境场景控制器及其他配套设施、设备等的采购、安装及调试、原灯具拆除及线路改造、恢复原装修效果、现场清理、垃圾外运等费用。</w:t>
      </w:r>
    </w:p>
    <w:p>
      <w:pPr>
        <w:spacing w:line="50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合同价款不因市场及政策变化因素的影响而予以调整。因实际供货数量发生变化的，根据合同单价据实结算。</w:t>
      </w:r>
    </w:p>
    <w:p>
      <w:pPr>
        <w:spacing w:line="50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投标人应根据上述因素结合其他方面因素自行考虑含入投标报价中，采购人不因投标人投标报价中的任何遗漏而予以增加或补偿费用，投标报价表中标明的价格，在合同执行过程中，不得以任何理由变更。</w:t>
      </w:r>
    </w:p>
    <w:p>
      <w:pPr>
        <w:spacing w:line="50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投标人应根据货物的技术状况列出随机配备的备品备件的清单和数量，并将该备品备件价格计入投标总价，若所提供的产品无需备件，则应在投标文件中说明；无论投标人在报价中列明随机备品备件的数量及价格多少，在质保期内采购人均无需为维护维修保养所需的专用工具和备品备件另行支付费用。</w:t>
      </w:r>
    </w:p>
    <w:p>
      <w:pPr>
        <w:spacing w:line="50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投标报价是评标重要因素之一，但最低投标报价不是中标的唯一依据。</w:t>
      </w:r>
    </w:p>
    <w:p>
      <w:pPr>
        <w:spacing w:line="50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投标人中标后因提供假冒、伪劣产品或不能履行产品质量售后服务保证的，采购人将按照相关法律、法规、行政规范性文件进行相应的处罚。</w:t>
      </w:r>
    </w:p>
    <w:p>
      <w:pPr>
        <w:spacing w:line="50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对于投标人在投标文件中列出的赠送条款，在评审时不得作为价格评分因素或者调整评标价格的依据。</w:t>
      </w:r>
    </w:p>
    <w:p>
      <w:pPr>
        <w:spacing w:line="50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采购人不提供水电、临时住宿、库房、现场办公等条件；在校内不得动用明火、不得在校内设置食堂和宿舍；供应商（中标人）在现场的所有设备、材料和货物等物品的保管责任由供应商（中标人）自负。</w:t>
      </w:r>
    </w:p>
    <w:p>
      <w:pPr>
        <w:spacing w:line="50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5、货物（产品）运输、安装及调试由中标人负责。采用公路或铁路运输方式，选择风险小、运费低和运距短的运输路线。运杂费一次性包死在合同总价内，采购人不再额外支付，包括从生产厂家到使用（安装）现场的包装、装载、运输、卸载、现场保管、二次倒运等费用。</w:t>
      </w:r>
    </w:p>
    <w:p>
      <w:pPr>
        <w:spacing w:line="52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6、款项结算</w:t>
      </w:r>
    </w:p>
    <w:p>
      <w:pPr>
        <w:spacing w:line="520" w:lineRule="exact"/>
        <w:ind w:firstLine="700" w:firstLineChars="25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（1）合同款的支付：全部货物安装、调试、验收合格交付使用后办理结算手续，中标供应商开具符合财政要求的全额正式税务发票并提出结算付款申请，采购人根据结算付款审批程序办理付款手续</w:t>
      </w:r>
      <w:r>
        <w:rPr>
          <w:rFonts w:hint="eastAsia" w:ascii="仿宋_GB2312" w:hAnsi="宋体" w:eastAsia="仿宋_GB2312"/>
          <w:bCs/>
          <w:color w:val="auto"/>
          <w:sz w:val="28"/>
          <w:szCs w:val="28"/>
        </w:rPr>
        <w:t>（预留5%质量保证金，质保期满，经再次验收无质量问题，办理付款手续，经审批后予以支付）</w:t>
      </w:r>
      <w:r>
        <w:rPr>
          <w:rFonts w:hint="eastAsia" w:ascii="仿宋_GB2312" w:hAnsi="宋体" w:eastAsia="仿宋_GB2312" w:cs="宋体"/>
          <w:color w:val="auto"/>
          <w:kern w:val="0"/>
          <w:sz w:val="28"/>
          <w:szCs w:val="28"/>
        </w:rPr>
        <w:t>。</w:t>
      </w:r>
    </w:p>
    <w:p>
      <w:pPr>
        <w:spacing w:line="520" w:lineRule="exact"/>
        <w:ind w:firstLine="700" w:firstLineChars="25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（2）结算方式：银行转账。</w:t>
      </w:r>
    </w:p>
    <w:p>
      <w:pPr>
        <w:spacing w:line="520" w:lineRule="exact"/>
        <w:ind w:firstLine="420" w:firstLineChars="15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7、违约责任</w:t>
      </w:r>
    </w:p>
    <w:p>
      <w:pPr>
        <w:spacing w:line="52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详见合同条款约定。</w:t>
      </w:r>
    </w:p>
    <w:p>
      <w:pPr>
        <w:spacing w:line="520" w:lineRule="exact"/>
        <w:ind w:firstLine="420" w:firstLineChars="15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8、伴随服务要求</w:t>
      </w:r>
    </w:p>
    <w:p>
      <w:pPr>
        <w:spacing w:line="52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8-1所有货物均由供应商（中标人）免费送货至采购人指定的交货地点并安装调试好，安装调试应以本需求书要求的技术参数指标为标准。</w:t>
      </w:r>
    </w:p>
    <w:p>
      <w:pPr>
        <w:spacing w:line="52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8-2所有货物交货后的拆箱、安装、调试等项工作(包括其费用)由供应商（中标人）负责，但必须在用户指定人员的参与下进行。调试的原始记录需经各方签字后作为验收的文件之一。</w:t>
      </w:r>
    </w:p>
    <w:p>
      <w:pPr>
        <w:spacing w:line="520" w:lineRule="exact"/>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8-3供应商（中标人）应提供包括但不限于满足设备安装、使用和维护的技术文件，如：设备和附件装箱清单、设备质量合格检定证明文件（包括合格证书和质检报告）、设备保修服务卡、设备中英文使用说明及有关图纸和维护手册等。</w:t>
      </w:r>
    </w:p>
    <w:p>
      <w:pPr>
        <w:spacing w:line="520" w:lineRule="exact"/>
        <w:ind w:firstLine="560" w:firstLineChars="200"/>
        <w:rPr>
          <w:rFonts w:ascii="仿宋_GB2312" w:hAnsi="宋体" w:eastAsia="仿宋_GB2312" w:cs="宋体"/>
          <w:color w:val="auto"/>
          <w:sz w:val="28"/>
          <w:szCs w:val="28"/>
        </w:rPr>
      </w:pPr>
      <w:r>
        <w:rPr>
          <w:rFonts w:hint="eastAsia" w:ascii="仿宋_GB2312" w:hAnsi="宋体" w:eastAsia="仿宋_GB2312" w:cs="宋体"/>
          <w:color w:val="auto"/>
          <w:kern w:val="0"/>
          <w:sz w:val="28"/>
          <w:szCs w:val="28"/>
        </w:rPr>
        <w:t>8-4</w:t>
      </w:r>
      <w:r>
        <w:rPr>
          <w:rFonts w:hint="eastAsia" w:ascii="仿宋_GB2312" w:hAnsi="宋体" w:eastAsia="仿宋_GB2312" w:cs="宋体"/>
          <w:color w:val="auto"/>
          <w:sz w:val="28"/>
          <w:szCs w:val="28"/>
        </w:rPr>
        <w:t>供应商（中标人）须委派合格的现场服务人员，为采购人提供上门技术服务，确保所供货物安全、正常投入运行。</w:t>
      </w:r>
    </w:p>
    <w:p>
      <w:pPr>
        <w:spacing w:line="520" w:lineRule="exact"/>
        <w:ind w:firstLine="420" w:firstLineChars="15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9、投标人必须保证提供全新的、完整的、安全可靠的产品。严禁提供水货、旧货翻新或假冒伪劣产品或次品、残品。</w:t>
      </w:r>
    </w:p>
    <w:p>
      <w:pPr>
        <w:widowControl/>
        <w:spacing w:line="520" w:lineRule="exact"/>
        <w:jc w:val="left"/>
        <w:rPr>
          <w:rFonts w:hAnsi="宋体" w:cs="宋体"/>
          <w:color w:val="auto"/>
          <w:kern w:val="0"/>
          <w:sz w:val="24"/>
        </w:rPr>
        <w:sectPr>
          <w:footerReference r:id="rId5" w:type="default"/>
          <w:pgSz w:w="11906" w:h="16838"/>
          <w:pgMar w:top="1440" w:right="1080" w:bottom="1440" w:left="1080" w:header="851" w:footer="992" w:gutter="0"/>
          <w:cols w:space="720" w:num="1"/>
          <w:docGrid w:linePitch="312" w:charSpace="0"/>
        </w:sectPr>
      </w:pPr>
    </w:p>
    <w:p>
      <w:pPr>
        <w:pStyle w:val="3"/>
        <w:adjustRightInd w:val="0"/>
        <w:snapToGrid w:val="0"/>
        <w:spacing w:before="0" w:after="0" w:line="360" w:lineRule="auto"/>
        <w:jc w:val="center"/>
        <w:rPr>
          <w:rFonts w:ascii="黑体" w:hAnsi="黑体" w:eastAsia="黑体" w:cs="仿宋_GB2312"/>
          <w:color w:val="auto"/>
        </w:rPr>
      </w:pPr>
      <w:bookmarkStart w:id="156" w:name="_Toc73278719"/>
      <w:r>
        <w:rPr>
          <w:rFonts w:hint="eastAsia" w:ascii="黑体" w:hAnsi="黑体" w:eastAsia="黑体" w:cs="仿宋_GB2312"/>
          <w:color w:val="auto"/>
        </w:rPr>
        <w:t>第五章 政府采购合同格式</w:t>
      </w:r>
      <w:bookmarkEnd w:id="156"/>
    </w:p>
    <w:p>
      <w:pPr>
        <w:widowControl/>
        <w:snapToGrid w:val="0"/>
        <w:spacing w:line="520" w:lineRule="exact"/>
        <w:ind w:firstLine="482" w:firstLineChars="200"/>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w:t>
      </w:r>
      <w:r>
        <w:rPr>
          <w:rFonts w:hint="eastAsia" w:ascii="仿宋_GB2312" w:hAnsi="宋体" w:eastAsia="仿宋_GB2312" w:cs="宋体"/>
          <w:color w:val="auto"/>
          <w:kern w:val="0"/>
          <w:sz w:val="24"/>
        </w:rPr>
        <w:t>本格式条款供双方签订合同参考，采购人可根据项目的实际情况增减条款和内容</w:t>
      </w:r>
      <w:r>
        <w:rPr>
          <w:rFonts w:hint="eastAsia" w:ascii="仿宋_GB2312" w:hAnsi="宋体" w:eastAsia="仿宋_GB2312" w:cs="宋体"/>
          <w:b/>
          <w:bCs/>
          <w:color w:val="auto"/>
          <w:kern w:val="0"/>
          <w:sz w:val="24"/>
        </w:rPr>
        <w:t>）</w:t>
      </w:r>
    </w:p>
    <w:p>
      <w:pPr>
        <w:widowControl/>
        <w:snapToGrid w:val="0"/>
        <w:spacing w:line="520" w:lineRule="exact"/>
        <w:ind w:firstLine="458" w:firstLineChars="200"/>
        <w:jc w:val="center"/>
        <w:rPr>
          <w:rFonts w:ascii="宋体" w:hAnsi="宋体" w:cs="宋体"/>
          <w:b/>
          <w:bCs/>
          <w:color w:val="auto"/>
          <w:spacing w:val="-6"/>
          <w:kern w:val="0"/>
          <w:sz w:val="24"/>
        </w:rPr>
      </w:pPr>
    </w:p>
    <w:p>
      <w:pPr>
        <w:spacing w:line="360" w:lineRule="auto"/>
        <w:ind w:right="420"/>
        <w:jc w:val="left"/>
        <w:rPr>
          <w:rFonts w:ascii="宋体" w:hAnsi="宋体" w:cs="宋体"/>
          <w:b/>
          <w:bCs/>
          <w:color w:val="auto"/>
          <w:sz w:val="28"/>
          <w:szCs w:val="28"/>
        </w:rPr>
      </w:pPr>
      <w:r>
        <w:rPr>
          <w:rFonts w:ascii="宋体" w:hAnsi="宋体" w:cs="宋体"/>
          <w:b/>
          <w:color w:val="auto"/>
          <w:sz w:val="28"/>
          <w:szCs w:val="28"/>
        </w:rPr>
        <w:drawing>
          <wp:inline distT="0" distB="0" distL="0" distR="0">
            <wp:extent cx="2755265" cy="621665"/>
            <wp:effectExtent l="1905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755265" cy="621665"/>
                    </a:xfrm>
                    <a:prstGeom prst="rect">
                      <a:avLst/>
                    </a:prstGeom>
                    <a:noFill/>
                    <a:ln w="9525">
                      <a:noFill/>
                    </a:ln>
                  </pic:spPr>
                </pic:pic>
              </a:graphicData>
            </a:graphic>
          </wp:inline>
        </w:drawing>
      </w:r>
      <w:r>
        <w:rPr>
          <w:rFonts w:hint="eastAsia" w:ascii="宋体" w:hAnsi="宋体" w:cs="宋体"/>
          <w:b/>
          <w:bCs/>
          <w:color w:val="auto"/>
          <w:sz w:val="28"/>
          <w:szCs w:val="28"/>
        </w:rPr>
        <w:t xml:space="preserve"> </w:t>
      </w:r>
    </w:p>
    <w:p>
      <w:pPr>
        <w:spacing w:line="360" w:lineRule="auto"/>
        <w:ind w:right="420"/>
        <w:jc w:val="left"/>
        <w:rPr>
          <w:rFonts w:ascii="宋体" w:hAnsi="宋体" w:cs="宋体"/>
          <w:b/>
          <w:bCs/>
          <w:color w:val="auto"/>
          <w:sz w:val="28"/>
          <w:szCs w:val="28"/>
        </w:rPr>
      </w:pPr>
      <w:r>
        <w:rPr>
          <w:rFonts w:ascii="宋体" w:hAnsi="宋体" w:cs="宋体"/>
          <w:b/>
          <w:bCs/>
          <w:color w:val="auto"/>
          <w:sz w:val="28"/>
          <w:szCs w:val="28"/>
        </w:rPr>
        <w:t xml:space="preserve">             </w:t>
      </w:r>
    </w:p>
    <w:p>
      <w:pPr>
        <w:widowControl/>
        <w:snapToGrid w:val="0"/>
        <w:spacing w:line="360" w:lineRule="auto"/>
        <w:jc w:val="center"/>
        <w:rPr>
          <w:rFonts w:ascii="华文中宋" w:hAnsi="华文中宋" w:eastAsia="华文中宋"/>
          <w:b/>
          <w:color w:val="auto"/>
          <w:spacing w:val="60"/>
          <w:sz w:val="52"/>
          <w:szCs w:val="52"/>
        </w:rPr>
      </w:pPr>
      <w:r>
        <w:rPr>
          <w:rFonts w:hint="eastAsia" w:ascii="华文中宋" w:hAnsi="华文中宋" w:eastAsia="华文中宋"/>
          <w:b/>
          <w:color w:val="auto"/>
          <w:spacing w:val="60"/>
          <w:sz w:val="52"/>
          <w:szCs w:val="52"/>
        </w:rPr>
        <w:t>西安航天城第一小学</w:t>
      </w:r>
    </w:p>
    <w:p>
      <w:pPr>
        <w:widowControl/>
        <w:snapToGrid w:val="0"/>
        <w:spacing w:line="360" w:lineRule="auto"/>
        <w:jc w:val="center"/>
        <w:rPr>
          <w:rFonts w:ascii="华文中宋" w:hAnsi="华文中宋" w:eastAsia="华文中宋"/>
          <w:b/>
          <w:color w:val="auto"/>
          <w:spacing w:val="60"/>
          <w:sz w:val="52"/>
          <w:szCs w:val="52"/>
        </w:rPr>
      </w:pPr>
      <w:r>
        <w:rPr>
          <w:rFonts w:hint="eastAsia" w:ascii="华文中宋" w:hAnsi="华文中宋" w:eastAsia="华文中宋"/>
          <w:b/>
          <w:color w:val="auto"/>
          <w:spacing w:val="60"/>
          <w:sz w:val="52"/>
          <w:szCs w:val="52"/>
        </w:rPr>
        <w:t>护眼灯采购及安装项目</w:t>
      </w:r>
    </w:p>
    <w:p>
      <w:pPr>
        <w:widowControl/>
        <w:snapToGrid w:val="0"/>
        <w:spacing w:line="360" w:lineRule="auto"/>
        <w:jc w:val="center"/>
        <w:rPr>
          <w:rFonts w:ascii="华文中宋" w:hAnsi="华文中宋" w:eastAsia="华文中宋"/>
          <w:b/>
          <w:color w:val="auto"/>
          <w:spacing w:val="60"/>
          <w:sz w:val="52"/>
          <w:szCs w:val="52"/>
        </w:rPr>
      </w:pPr>
      <w:r>
        <w:rPr>
          <w:rFonts w:hint="eastAsia" w:ascii="华文中宋" w:hAnsi="华文中宋" w:eastAsia="华文中宋"/>
          <w:b/>
          <w:color w:val="auto"/>
          <w:spacing w:val="60"/>
          <w:sz w:val="52"/>
          <w:szCs w:val="52"/>
        </w:rPr>
        <w:t>政府采购合同</w:t>
      </w:r>
    </w:p>
    <w:p>
      <w:pPr>
        <w:widowControl/>
        <w:snapToGrid w:val="0"/>
        <w:spacing w:line="720" w:lineRule="auto"/>
        <w:jc w:val="left"/>
        <w:rPr>
          <w:rFonts w:ascii="华文中宋" w:hAnsi="华文中宋" w:eastAsia="华文中宋"/>
          <w:bCs/>
          <w:color w:val="auto"/>
          <w:sz w:val="30"/>
          <w:szCs w:val="30"/>
        </w:rPr>
      </w:pPr>
    </w:p>
    <w:p>
      <w:pPr>
        <w:pStyle w:val="2"/>
        <w:rPr>
          <w:color w:val="auto"/>
        </w:rPr>
      </w:pPr>
    </w:p>
    <w:p>
      <w:pPr>
        <w:rPr>
          <w:color w:val="auto"/>
        </w:rPr>
      </w:pPr>
    </w:p>
    <w:p>
      <w:pPr>
        <w:pStyle w:val="2"/>
        <w:rPr>
          <w:color w:val="auto"/>
        </w:rPr>
      </w:pPr>
    </w:p>
    <w:p>
      <w:pPr>
        <w:widowControl/>
        <w:snapToGrid w:val="0"/>
        <w:spacing w:line="720" w:lineRule="auto"/>
        <w:jc w:val="left"/>
        <w:rPr>
          <w:rFonts w:ascii="华文中宋" w:hAnsi="华文中宋" w:eastAsia="华文中宋"/>
          <w:bCs/>
          <w:color w:val="auto"/>
          <w:sz w:val="30"/>
          <w:szCs w:val="30"/>
        </w:rPr>
      </w:pPr>
      <w:r>
        <w:rPr>
          <w:rFonts w:hint="eastAsia" w:ascii="华文中宋" w:hAnsi="华文中宋" w:eastAsia="华文中宋"/>
          <w:bCs/>
          <w:color w:val="auto"/>
          <w:sz w:val="30"/>
          <w:szCs w:val="30"/>
        </w:rPr>
        <w:t>甲方（采购人）：</w:t>
      </w:r>
      <w:r>
        <w:rPr>
          <w:rFonts w:hint="eastAsia" w:ascii="华文中宋" w:hAnsi="华文中宋" w:eastAsia="华文中宋"/>
          <w:bCs/>
          <w:color w:val="auto"/>
          <w:sz w:val="30"/>
          <w:szCs w:val="30"/>
          <w:u w:val="single"/>
        </w:rPr>
        <w:t xml:space="preserve">                                            。</w:t>
      </w:r>
    </w:p>
    <w:p>
      <w:pPr>
        <w:widowControl/>
        <w:snapToGrid w:val="0"/>
        <w:spacing w:line="720" w:lineRule="auto"/>
        <w:jc w:val="left"/>
        <w:rPr>
          <w:rFonts w:ascii="华文中宋" w:hAnsi="华文中宋" w:eastAsia="华文中宋"/>
          <w:bCs/>
          <w:color w:val="auto"/>
          <w:sz w:val="30"/>
          <w:szCs w:val="30"/>
          <w:u w:val="single"/>
        </w:rPr>
      </w:pPr>
      <w:r>
        <w:rPr>
          <w:rFonts w:hint="eastAsia" w:ascii="华文中宋" w:hAnsi="华文中宋" w:eastAsia="华文中宋"/>
          <w:bCs/>
          <w:color w:val="auto"/>
          <w:sz w:val="30"/>
          <w:szCs w:val="30"/>
        </w:rPr>
        <w:t>乙方（供应商）：</w:t>
      </w:r>
      <w:r>
        <w:rPr>
          <w:rFonts w:hint="eastAsia" w:ascii="华文中宋" w:hAnsi="华文中宋" w:eastAsia="华文中宋"/>
          <w:bCs/>
          <w:color w:val="auto"/>
          <w:sz w:val="30"/>
          <w:szCs w:val="30"/>
          <w:u w:val="single"/>
        </w:rPr>
        <w:t xml:space="preserve">                                           。</w:t>
      </w:r>
    </w:p>
    <w:p>
      <w:pPr>
        <w:widowControl/>
        <w:snapToGrid w:val="0"/>
        <w:spacing w:line="360" w:lineRule="auto"/>
        <w:ind w:firstLine="2252" w:firstLineChars="750"/>
        <w:jc w:val="left"/>
        <w:rPr>
          <w:rFonts w:ascii="华文中宋" w:hAnsi="华文中宋" w:eastAsia="华文中宋"/>
          <w:b/>
          <w:color w:val="auto"/>
          <w:sz w:val="30"/>
          <w:szCs w:val="30"/>
        </w:rPr>
      </w:pPr>
      <w:r>
        <w:rPr>
          <w:rFonts w:hint="eastAsia" w:ascii="华文中宋" w:hAnsi="华文中宋" w:eastAsia="华文中宋"/>
          <w:b/>
          <w:color w:val="auto"/>
          <w:sz w:val="30"/>
          <w:szCs w:val="30"/>
        </w:rPr>
        <w:t>合同签订日期：  年  月   日</w:t>
      </w:r>
    </w:p>
    <w:p>
      <w:pPr>
        <w:pStyle w:val="2"/>
        <w:rPr>
          <w:color w:val="auto"/>
        </w:rPr>
      </w:pPr>
    </w:p>
    <w:p>
      <w:pPr>
        <w:rPr>
          <w:color w:val="auto"/>
        </w:rPr>
      </w:pPr>
    </w:p>
    <w:p>
      <w:pPr>
        <w:pStyle w:val="2"/>
        <w:rPr>
          <w:color w:val="auto"/>
        </w:rPr>
      </w:pPr>
    </w:p>
    <w:p>
      <w:pPr>
        <w:spacing w:line="480" w:lineRule="auto"/>
        <w:jc w:val="center"/>
        <w:rPr>
          <w:rFonts w:ascii="黑体" w:hAnsi="黑体" w:eastAsia="黑体"/>
          <w:b/>
          <w:color w:val="auto"/>
          <w:sz w:val="30"/>
          <w:szCs w:val="30"/>
        </w:rPr>
      </w:pPr>
      <w:r>
        <w:rPr>
          <w:rFonts w:hint="eastAsia" w:ascii="黑体" w:hAnsi="黑体" w:eastAsia="黑体"/>
          <w:b/>
          <w:color w:val="auto"/>
          <w:sz w:val="30"/>
          <w:szCs w:val="30"/>
        </w:rPr>
        <w:t>西安航天城第一小学</w:t>
      </w:r>
    </w:p>
    <w:p>
      <w:pPr>
        <w:spacing w:line="480" w:lineRule="auto"/>
        <w:jc w:val="center"/>
        <w:rPr>
          <w:rFonts w:ascii="黑体" w:hAnsi="黑体" w:eastAsia="黑体"/>
          <w:color w:val="auto"/>
          <w:sz w:val="30"/>
          <w:szCs w:val="30"/>
        </w:rPr>
      </w:pPr>
      <w:r>
        <w:rPr>
          <w:rFonts w:hint="eastAsia" w:ascii="黑体" w:hAnsi="黑体" w:eastAsia="黑体"/>
          <w:b/>
          <w:color w:val="auto"/>
          <w:sz w:val="30"/>
          <w:szCs w:val="30"/>
        </w:rPr>
        <w:t>护眼灯采购及安装项目政府采购合同</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 xml:space="preserve">合同编号： </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 xml:space="preserve">签订地点： </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签订时间:</w:t>
      </w:r>
    </w:p>
    <w:p>
      <w:pPr>
        <w:pStyle w:val="71"/>
        <w:spacing w:line="500" w:lineRule="exact"/>
        <w:ind w:firstLine="560"/>
        <w:rPr>
          <w:rFonts w:ascii="仿宋_GB2312" w:hAnsi="宋体" w:eastAsia="仿宋_GB2312"/>
          <w:color w:val="auto"/>
          <w:sz w:val="28"/>
          <w:szCs w:val="28"/>
        </w:rPr>
      </w:pP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采购人（甲方）：</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供应商（乙方）：</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根据《中华人民共和国民法典》、《中华人民共和国政府采购法》、《中华人民共和国政府采购法实施条例》、《政府采购货物和服务招标投标管理办法》（财政部第87号令）和甲方</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项目（项目编号：</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）的招标文件、乙方投标文件等有关规定，为确保该采购项目的顺利实施，甲、乙双方在平等自愿原则下签订本合同，并共同遵守如下条款：</w:t>
      </w:r>
    </w:p>
    <w:p>
      <w:pPr>
        <w:pStyle w:val="71"/>
        <w:spacing w:beforeLines="100" w:line="360" w:lineRule="auto"/>
        <w:ind w:firstLine="562"/>
        <w:rPr>
          <w:rFonts w:ascii="黑体" w:hAnsi="黑体" w:eastAsia="黑体"/>
          <w:b/>
          <w:color w:val="auto"/>
          <w:sz w:val="28"/>
          <w:szCs w:val="28"/>
        </w:rPr>
      </w:pPr>
      <w:r>
        <w:rPr>
          <w:rFonts w:hint="eastAsia" w:ascii="黑体" w:hAnsi="黑体" w:eastAsia="黑体"/>
          <w:b/>
          <w:color w:val="auto"/>
          <w:sz w:val="28"/>
          <w:szCs w:val="28"/>
        </w:rPr>
        <w:t>第一条 合同标的及数量</w:t>
      </w:r>
    </w:p>
    <w:p>
      <w:pPr>
        <w:pStyle w:val="71"/>
        <w:spacing w:beforeLines="50" w:line="360" w:lineRule="auto"/>
        <w:ind w:firstLine="478" w:firstLineChars="171"/>
        <w:rPr>
          <w:rFonts w:ascii="仿宋_GB2312" w:hAnsi="宋体" w:eastAsia="仿宋_GB2312"/>
          <w:b/>
          <w:color w:val="auto"/>
          <w:sz w:val="28"/>
          <w:szCs w:val="28"/>
        </w:rPr>
      </w:pPr>
      <w:r>
        <w:rPr>
          <w:rFonts w:hint="eastAsia" w:ascii="仿宋_GB2312" w:eastAsia="仿宋_GB2312"/>
          <w:color w:val="auto"/>
          <w:sz w:val="28"/>
          <w:szCs w:val="28"/>
        </w:rPr>
        <w:t>乙方向甲方提供下列货物（产品）：</w:t>
      </w:r>
    </w:p>
    <w:tbl>
      <w:tblPr>
        <w:tblStyle w:val="24"/>
        <w:tblpPr w:leftFromText="180" w:rightFromText="180" w:vertAnchor="text" w:horzAnchor="margin" w:tblpXSpec="center" w:tblpY="309"/>
        <w:tblW w:w="993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504"/>
        <w:gridCol w:w="1718"/>
        <w:gridCol w:w="1534"/>
        <w:gridCol w:w="767"/>
        <w:gridCol w:w="768"/>
        <w:gridCol w:w="1227"/>
        <w:gridCol w:w="16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31" w:type="dxa"/>
            <w:vAlign w:val="center"/>
          </w:tcPr>
          <w:p>
            <w:pPr>
              <w:pStyle w:val="4"/>
              <w:spacing w:before="0" w:after="0"/>
              <w:jc w:val="center"/>
              <w:rPr>
                <w:rFonts w:ascii="仿宋_GB2312" w:hAnsi="宋体" w:eastAsia="仿宋_GB2312"/>
                <w:color w:val="auto"/>
                <w:sz w:val="21"/>
                <w:szCs w:val="21"/>
              </w:rPr>
            </w:pPr>
            <w:r>
              <w:rPr>
                <w:rFonts w:hint="eastAsia" w:ascii="仿宋_GB2312" w:hAnsi="宋体" w:eastAsia="仿宋_GB2312"/>
                <w:color w:val="auto"/>
                <w:sz w:val="21"/>
                <w:szCs w:val="21"/>
              </w:rPr>
              <w:t>序号</w:t>
            </w:r>
          </w:p>
        </w:tc>
        <w:tc>
          <w:tcPr>
            <w:tcW w:w="1504" w:type="dxa"/>
            <w:vAlign w:val="center"/>
          </w:tcPr>
          <w:p>
            <w:pPr>
              <w:pStyle w:val="4"/>
              <w:spacing w:before="0" w:after="0"/>
              <w:jc w:val="center"/>
              <w:rPr>
                <w:rFonts w:ascii="仿宋_GB2312" w:hAnsi="宋体" w:eastAsia="仿宋_GB2312"/>
                <w:color w:val="auto"/>
                <w:sz w:val="21"/>
                <w:szCs w:val="21"/>
              </w:rPr>
            </w:pPr>
            <w:r>
              <w:rPr>
                <w:rFonts w:hint="eastAsia" w:ascii="仿宋_GB2312" w:hAnsi="宋体" w:eastAsia="仿宋_GB2312"/>
                <w:color w:val="auto"/>
                <w:sz w:val="21"/>
                <w:szCs w:val="21"/>
              </w:rPr>
              <w:t>货物名称</w:t>
            </w:r>
          </w:p>
        </w:tc>
        <w:tc>
          <w:tcPr>
            <w:tcW w:w="1718" w:type="dxa"/>
            <w:vAlign w:val="center"/>
          </w:tcPr>
          <w:p>
            <w:pPr>
              <w:pStyle w:val="4"/>
              <w:spacing w:before="0" w:after="0"/>
              <w:jc w:val="center"/>
              <w:rPr>
                <w:rFonts w:ascii="仿宋_GB2312" w:hAnsi="宋体" w:eastAsia="仿宋_GB2312"/>
                <w:color w:val="auto"/>
                <w:sz w:val="21"/>
                <w:szCs w:val="21"/>
              </w:rPr>
            </w:pPr>
            <w:r>
              <w:rPr>
                <w:rFonts w:hint="eastAsia" w:ascii="仿宋_GB2312" w:hAnsi="宋体" w:eastAsia="仿宋_GB2312"/>
                <w:color w:val="auto"/>
                <w:sz w:val="21"/>
                <w:szCs w:val="21"/>
              </w:rPr>
              <w:t>型号规格</w:t>
            </w:r>
          </w:p>
        </w:tc>
        <w:tc>
          <w:tcPr>
            <w:tcW w:w="1534" w:type="dxa"/>
            <w:vAlign w:val="center"/>
          </w:tcPr>
          <w:p>
            <w:pPr>
              <w:pStyle w:val="4"/>
              <w:spacing w:before="0" w:after="0" w:line="400" w:lineRule="exact"/>
              <w:jc w:val="center"/>
              <w:rPr>
                <w:rFonts w:ascii="仿宋_GB2312" w:hAnsi="宋体" w:eastAsia="仿宋_GB2312"/>
                <w:color w:val="auto"/>
                <w:sz w:val="21"/>
                <w:szCs w:val="21"/>
              </w:rPr>
            </w:pPr>
            <w:r>
              <w:rPr>
                <w:rFonts w:hint="eastAsia" w:ascii="仿宋_GB2312" w:hAnsi="宋体" w:eastAsia="仿宋_GB2312"/>
                <w:color w:val="auto"/>
                <w:sz w:val="21"/>
                <w:szCs w:val="21"/>
              </w:rPr>
              <w:t>技术参数</w:t>
            </w:r>
          </w:p>
          <w:p>
            <w:pPr>
              <w:pStyle w:val="4"/>
              <w:spacing w:before="0" w:after="0" w:line="400" w:lineRule="exact"/>
              <w:jc w:val="center"/>
              <w:rPr>
                <w:rFonts w:ascii="仿宋_GB2312" w:hAnsi="宋体" w:eastAsia="仿宋_GB2312"/>
                <w:color w:val="auto"/>
                <w:sz w:val="21"/>
                <w:szCs w:val="21"/>
              </w:rPr>
            </w:pPr>
            <w:r>
              <w:rPr>
                <w:rFonts w:hint="eastAsia" w:ascii="仿宋_GB2312" w:hAnsi="宋体" w:eastAsia="仿宋_GB2312"/>
                <w:color w:val="auto"/>
                <w:sz w:val="21"/>
                <w:szCs w:val="21"/>
              </w:rPr>
              <w:t>及配置</w:t>
            </w:r>
          </w:p>
        </w:tc>
        <w:tc>
          <w:tcPr>
            <w:tcW w:w="767" w:type="dxa"/>
            <w:vAlign w:val="center"/>
          </w:tcPr>
          <w:p>
            <w:pPr>
              <w:pStyle w:val="4"/>
              <w:spacing w:before="0" w:after="0" w:line="240" w:lineRule="auto"/>
              <w:jc w:val="center"/>
              <w:rPr>
                <w:rFonts w:ascii="仿宋_GB2312" w:hAnsi="宋体" w:eastAsia="仿宋_GB2312"/>
                <w:color w:val="auto"/>
                <w:sz w:val="21"/>
                <w:szCs w:val="21"/>
              </w:rPr>
            </w:pPr>
            <w:r>
              <w:rPr>
                <w:rFonts w:hint="eastAsia" w:ascii="仿宋_GB2312" w:hAnsi="宋体" w:eastAsia="仿宋_GB2312"/>
                <w:color w:val="auto"/>
                <w:sz w:val="21"/>
                <w:szCs w:val="21"/>
              </w:rPr>
              <w:t>计量单位</w:t>
            </w:r>
          </w:p>
        </w:tc>
        <w:tc>
          <w:tcPr>
            <w:tcW w:w="768" w:type="dxa"/>
            <w:vAlign w:val="center"/>
          </w:tcPr>
          <w:p>
            <w:pPr>
              <w:pStyle w:val="4"/>
              <w:spacing w:before="0" w:after="0"/>
              <w:jc w:val="center"/>
              <w:rPr>
                <w:rFonts w:ascii="仿宋_GB2312" w:hAnsi="宋体" w:eastAsia="仿宋_GB2312"/>
                <w:color w:val="auto"/>
                <w:sz w:val="21"/>
                <w:szCs w:val="21"/>
              </w:rPr>
            </w:pPr>
            <w:r>
              <w:rPr>
                <w:rFonts w:hint="eastAsia" w:ascii="仿宋_GB2312" w:hAnsi="宋体" w:eastAsia="仿宋_GB2312"/>
                <w:color w:val="auto"/>
                <w:sz w:val="21"/>
                <w:szCs w:val="21"/>
              </w:rPr>
              <w:t>数量</w:t>
            </w:r>
          </w:p>
        </w:tc>
        <w:tc>
          <w:tcPr>
            <w:tcW w:w="1227" w:type="dxa"/>
            <w:vAlign w:val="center"/>
          </w:tcPr>
          <w:p>
            <w:pPr>
              <w:pStyle w:val="4"/>
              <w:spacing w:before="0" w:after="0"/>
              <w:jc w:val="center"/>
              <w:rPr>
                <w:rFonts w:ascii="仿宋_GB2312" w:hAnsi="宋体" w:eastAsia="仿宋_GB2312"/>
                <w:color w:val="auto"/>
                <w:sz w:val="21"/>
                <w:szCs w:val="21"/>
              </w:rPr>
            </w:pPr>
            <w:r>
              <w:rPr>
                <w:rFonts w:hint="eastAsia" w:ascii="仿宋_GB2312" w:hAnsi="宋体" w:eastAsia="仿宋_GB2312"/>
                <w:color w:val="auto"/>
                <w:sz w:val="21"/>
                <w:szCs w:val="21"/>
              </w:rPr>
              <w:t>单价（元）</w:t>
            </w:r>
          </w:p>
        </w:tc>
        <w:tc>
          <w:tcPr>
            <w:tcW w:w="1687" w:type="dxa"/>
            <w:vAlign w:val="center"/>
          </w:tcPr>
          <w:p>
            <w:pPr>
              <w:pStyle w:val="4"/>
              <w:spacing w:before="0" w:after="0"/>
              <w:ind w:left="207" w:hanging="207" w:hangingChars="98"/>
              <w:jc w:val="center"/>
              <w:rPr>
                <w:rFonts w:ascii="仿宋_GB2312" w:hAnsi="宋体" w:eastAsia="仿宋_GB2312"/>
                <w:color w:val="auto"/>
                <w:sz w:val="21"/>
                <w:szCs w:val="21"/>
              </w:rPr>
            </w:pPr>
            <w:r>
              <w:rPr>
                <w:rFonts w:hint="eastAsia" w:ascii="仿宋_GB2312" w:hAnsi="宋体" w:eastAsia="仿宋_GB2312"/>
                <w:color w:val="auto"/>
                <w:sz w:val="21"/>
                <w:szCs w:val="21"/>
              </w:rPr>
              <w:t>金额 (元)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31" w:type="dxa"/>
          </w:tcPr>
          <w:p>
            <w:pPr>
              <w:pStyle w:val="4"/>
              <w:spacing w:before="0" w:after="0" w:line="360" w:lineRule="auto"/>
              <w:rPr>
                <w:rFonts w:ascii="仿宋_GB2312" w:hAnsi="宋体" w:eastAsia="仿宋_GB2312"/>
                <w:color w:val="auto"/>
                <w:sz w:val="24"/>
                <w:szCs w:val="24"/>
              </w:rPr>
            </w:pPr>
          </w:p>
        </w:tc>
        <w:tc>
          <w:tcPr>
            <w:tcW w:w="1504" w:type="dxa"/>
          </w:tcPr>
          <w:p>
            <w:pPr>
              <w:pStyle w:val="4"/>
              <w:spacing w:before="0" w:after="0" w:line="360" w:lineRule="auto"/>
              <w:rPr>
                <w:rFonts w:ascii="仿宋_GB2312" w:hAnsi="宋体" w:eastAsia="仿宋_GB2312"/>
                <w:color w:val="auto"/>
                <w:sz w:val="24"/>
                <w:szCs w:val="24"/>
              </w:rPr>
            </w:pPr>
          </w:p>
        </w:tc>
        <w:tc>
          <w:tcPr>
            <w:tcW w:w="1718" w:type="dxa"/>
          </w:tcPr>
          <w:p>
            <w:pPr>
              <w:pStyle w:val="4"/>
              <w:spacing w:before="0" w:after="0" w:line="360" w:lineRule="auto"/>
              <w:rPr>
                <w:rFonts w:ascii="仿宋_GB2312" w:hAnsi="宋体" w:eastAsia="仿宋_GB2312"/>
                <w:color w:val="auto"/>
                <w:sz w:val="24"/>
                <w:szCs w:val="24"/>
              </w:rPr>
            </w:pPr>
          </w:p>
        </w:tc>
        <w:tc>
          <w:tcPr>
            <w:tcW w:w="1534" w:type="dxa"/>
          </w:tcPr>
          <w:p>
            <w:pPr>
              <w:pStyle w:val="4"/>
              <w:spacing w:before="0" w:after="0" w:line="360" w:lineRule="auto"/>
              <w:rPr>
                <w:rFonts w:ascii="仿宋_GB2312" w:hAnsi="宋体" w:eastAsia="仿宋_GB2312"/>
                <w:color w:val="auto"/>
                <w:sz w:val="24"/>
                <w:szCs w:val="24"/>
              </w:rPr>
            </w:pPr>
          </w:p>
        </w:tc>
        <w:tc>
          <w:tcPr>
            <w:tcW w:w="767" w:type="dxa"/>
          </w:tcPr>
          <w:p>
            <w:pPr>
              <w:pStyle w:val="4"/>
              <w:spacing w:before="0" w:after="0" w:line="360" w:lineRule="auto"/>
              <w:rPr>
                <w:rFonts w:ascii="仿宋_GB2312" w:hAnsi="宋体" w:eastAsia="仿宋_GB2312"/>
                <w:color w:val="auto"/>
                <w:sz w:val="24"/>
                <w:szCs w:val="24"/>
              </w:rPr>
            </w:pPr>
          </w:p>
        </w:tc>
        <w:tc>
          <w:tcPr>
            <w:tcW w:w="768" w:type="dxa"/>
          </w:tcPr>
          <w:p>
            <w:pPr>
              <w:pStyle w:val="4"/>
              <w:spacing w:before="0" w:after="0" w:line="360" w:lineRule="auto"/>
              <w:rPr>
                <w:rFonts w:ascii="仿宋_GB2312" w:hAnsi="宋体" w:eastAsia="仿宋_GB2312"/>
                <w:color w:val="auto"/>
                <w:sz w:val="24"/>
                <w:szCs w:val="24"/>
              </w:rPr>
            </w:pPr>
          </w:p>
        </w:tc>
        <w:tc>
          <w:tcPr>
            <w:tcW w:w="1227" w:type="dxa"/>
          </w:tcPr>
          <w:p>
            <w:pPr>
              <w:pStyle w:val="4"/>
              <w:spacing w:before="0" w:after="0" w:line="360" w:lineRule="auto"/>
              <w:rPr>
                <w:rFonts w:ascii="仿宋_GB2312" w:hAnsi="宋体" w:eastAsia="仿宋_GB2312"/>
                <w:color w:val="auto"/>
                <w:sz w:val="24"/>
                <w:szCs w:val="24"/>
              </w:rPr>
            </w:pPr>
          </w:p>
        </w:tc>
        <w:tc>
          <w:tcPr>
            <w:tcW w:w="1687" w:type="dxa"/>
          </w:tcPr>
          <w:p>
            <w:pPr>
              <w:pStyle w:val="4"/>
              <w:spacing w:before="0" w:after="0" w:line="360" w:lineRule="auto"/>
              <w:rPr>
                <w:rFonts w:ascii="仿宋_GB2312" w:hAnsi="宋体" w:eastAsia="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31" w:type="dxa"/>
          </w:tcPr>
          <w:p>
            <w:pPr>
              <w:pStyle w:val="4"/>
              <w:spacing w:before="0" w:after="0" w:line="360" w:lineRule="auto"/>
              <w:rPr>
                <w:rFonts w:ascii="仿宋_GB2312" w:hAnsi="宋体" w:eastAsia="仿宋_GB2312"/>
                <w:color w:val="auto"/>
                <w:sz w:val="24"/>
                <w:szCs w:val="24"/>
              </w:rPr>
            </w:pPr>
          </w:p>
        </w:tc>
        <w:tc>
          <w:tcPr>
            <w:tcW w:w="1504" w:type="dxa"/>
          </w:tcPr>
          <w:p>
            <w:pPr>
              <w:pStyle w:val="4"/>
              <w:spacing w:before="0" w:after="0" w:line="360" w:lineRule="auto"/>
              <w:rPr>
                <w:rFonts w:ascii="仿宋_GB2312" w:hAnsi="宋体" w:eastAsia="仿宋_GB2312"/>
                <w:color w:val="auto"/>
                <w:sz w:val="24"/>
                <w:szCs w:val="24"/>
              </w:rPr>
            </w:pPr>
          </w:p>
        </w:tc>
        <w:tc>
          <w:tcPr>
            <w:tcW w:w="1718" w:type="dxa"/>
          </w:tcPr>
          <w:p>
            <w:pPr>
              <w:pStyle w:val="4"/>
              <w:spacing w:before="0" w:after="0" w:line="360" w:lineRule="auto"/>
              <w:rPr>
                <w:rFonts w:ascii="仿宋_GB2312" w:hAnsi="宋体" w:eastAsia="仿宋_GB2312"/>
                <w:color w:val="auto"/>
                <w:sz w:val="24"/>
                <w:szCs w:val="24"/>
              </w:rPr>
            </w:pPr>
          </w:p>
        </w:tc>
        <w:tc>
          <w:tcPr>
            <w:tcW w:w="1534" w:type="dxa"/>
          </w:tcPr>
          <w:p>
            <w:pPr>
              <w:pStyle w:val="4"/>
              <w:spacing w:before="0" w:after="0" w:line="360" w:lineRule="auto"/>
              <w:rPr>
                <w:rFonts w:ascii="仿宋_GB2312" w:hAnsi="宋体" w:eastAsia="仿宋_GB2312"/>
                <w:color w:val="auto"/>
                <w:sz w:val="24"/>
                <w:szCs w:val="24"/>
              </w:rPr>
            </w:pPr>
          </w:p>
        </w:tc>
        <w:tc>
          <w:tcPr>
            <w:tcW w:w="767" w:type="dxa"/>
          </w:tcPr>
          <w:p>
            <w:pPr>
              <w:pStyle w:val="4"/>
              <w:spacing w:before="0" w:after="0" w:line="360" w:lineRule="auto"/>
              <w:rPr>
                <w:rFonts w:ascii="仿宋_GB2312" w:hAnsi="宋体" w:eastAsia="仿宋_GB2312"/>
                <w:color w:val="auto"/>
                <w:sz w:val="24"/>
                <w:szCs w:val="24"/>
              </w:rPr>
            </w:pPr>
          </w:p>
        </w:tc>
        <w:tc>
          <w:tcPr>
            <w:tcW w:w="768" w:type="dxa"/>
          </w:tcPr>
          <w:p>
            <w:pPr>
              <w:pStyle w:val="4"/>
              <w:spacing w:before="0" w:after="0" w:line="360" w:lineRule="auto"/>
              <w:rPr>
                <w:rFonts w:ascii="仿宋_GB2312" w:hAnsi="宋体" w:eastAsia="仿宋_GB2312"/>
                <w:color w:val="auto"/>
                <w:sz w:val="24"/>
                <w:szCs w:val="24"/>
              </w:rPr>
            </w:pPr>
          </w:p>
        </w:tc>
        <w:tc>
          <w:tcPr>
            <w:tcW w:w="1227" w:type="dxa"/>
          </w:tcPr>
          <w:p>
            <w:pPr>
              <w:pStyle w:val="4"/>
              <w:spacing w:before="0" w:after="0" w:line="360" w:lineRule="auto"/>
              <w:rPr>
                <w:rFonts w:ascii="仿宋_GB2312" w:hAnsi="宋体" w:eastAsia="仿宋_GB2312"/>
                <w:color w:val="auto"/>
                <w:sz w:val="24"/>
                <w:szCs w:val="24"/>
              </w:rPr>
            </w:pPr>
          </w:p>
        </w:tc>
        <w:tc>
          <w:tcPr>
            <w:tcW w:w="1687" w:type="dxa"/>
          </w:tcPr>
          <w:p>
            <w:pPr>
              <w:pStyle w:val="4"/>
              <w:spacing w:before="0" w:after="0" w:line="360" w:lineRule="auto"/>
              <w:rPr>
                <w:rFonts w:ascii="仿宋_GB2312" w:hAnsi="宋体" w:eastAsia="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731" w:type="dxa"/>
          </w:tcPr>
          <w:p>
            <w:pPr>
              <w:pStyle w:val="4"/>
              <w:spacing w:before="0" w:after="0" w:line="360" w:lineRule="auto"/>
              <w:rPr>
                <w:rFonts w:ascii="仿宋_GB2312" w:hAnsi="宋体" w:eastAsia="仿宋_GB2312"/>
                <w:color w:val="auto"/>
                <w:sz w:val="24"/>
                <w:szCs w:val="24"/>
              </w:rPr>
            </w:pPr>
          </w:p>
        </w:tc>
        <w:tc>
          <w:tcPr>
            <w:tcW w:w="1504" w:type="dxa"/>
          </w:tcPr>
          <w:p>
            <w:pPr>
              <w:pStyle w:val="4"/>
              <w:spacing w:before="0" w:after="0" w:line="360" w:lineRule="auto"/>
              <w:rPr>
                <w:rFonts w:ascii="仿宋_GB2312" w:hAnsi="宋体" w:eastAsia="仿宋_GB2312"/>
                <w:color w:val="auto"/>
                <w:sz w:val="24"/>
                <w:szCs w:val="24"/>
              </w:rPr>
            </w:pPr>
          </w:p>
        </w:tc>
        <w:tc>
          <w:tcPr>
            <w:tcW w:w="1718" w:type="dxa"/>
          </w:tcPr>
          <w:p>
            <w:pPr>
              <w:pStyle w:val="4"/>
              <w:spacing w:before="0" w:after="0" w:line="360" w:lineRule="auto"/>
              <w:rPr>
                <w:rFonts w:ascii="仿宋_GB2312" w:hAnsi="宋体" w:eastAsia="仿宋_GB2312"/>
                <w:color w:val="auto"/>
                <w:sz w:val="24"/>
                <w:szCs w:val="24"/>
              </w:rPr>
            </w:pPr>
          </w:p>
        </w:tc>
        <w:tc>
          <w:tcPr>
            <w:tcW w:w="1534" w:type="dxa"/>
          </w:tcPr>
          <w:p>
            <w:pPr>
              <w:pStyle w:val="4"/>
              <w:spacing w:before="0" w:after="0" w:line="360" w:lineRule="auto"/>
              <w:rPr>
                <w:rFonts w:ascii="仿宋_GB2312" w:hAnsi="宋体" w:eastAsia="仿宋_GB2312"/>
                <w:color w:val="auto"/>
                <w:sz w:val="24"/>
                <w:szCs w:val="24"/>
              </w:rPr>
            </w:pPr>
          </w:p>
        </w:tc>
        <w:tc>
          <w:tcPr>
            <w:tcW w:w="767" w:type="dxa"/>
          </w:tcPr>
          <w:p>
            <w:pPr>
              <w:pStyle w:val="4"/>
              <w:spacing w:before="0" w:after="0" w:line="360" w:lineRule="auto"/>
              <w:rPr>
                <w:rFonts w:ascii="仿宋_GB2312" w:hAnsi="宋体" w:eastAsia="仿宋_GB2312"/>
                <w:color w:val="auto"/>
                <w:sz w:val="24"/>
                <w:szCs w:val="24"/>
              </w:rPr>
            </w:pPr>
          </w:p>
        </w:tc>
        <w:tc>
          <w:tcPr>
            <w:tcW w:w="768" w:type="dxa"/>
          </w:tcPr>
          <w:p>
            <w:pPr>
              <w:pStyle w:val="4"/>
              <w:spacing w:before="0" w:after="0" w:line="360" w:lineRule="auto"/>
              <w:rPr>
                <w:rFonts w:ascii="仿宋_GB2312" w:hAnsi="宋体" w:eastAsia="仿宋_GB2312"/>
                <w:color w:val="auto"/>
                <w:sz w:val="24"/>
                <w:szCs w:val="24"/>
              </w:rPr>
            </w:pPr>
          </w:p>
        </w:tc>
        <w:tc>
          <w:tcPr>
            <w:tcW w:w="1227" w:type="dxa"/>
          </w:tcPr>
          <w:p>
            <w:pPr>
              <w:pStyle w:val="4"/>
              <w:spacing w:before="0" w:after="0" w:line="360" w:lineRule="auto"/>
              <w:rPr>
                <w:rFonts w:ascii="仿宋_GB2312" w:hAnsi="宋体" w:eastAsia="仿宋_GB2312"/>
                <w:color w:val="auto"/>
                <w:sz w:val="24"/>
                <w:szCs w:val="24"/>
              </w:rPr>
            </w:pPr>
          </w:p>
        </w:tc>
        <w:tc>
          <w:tcPr>
            <w:tcW w:w="1687" w:type="dxa"/>
          </w:tcPr>
          <w:p>
            <w:pPr>
              <w:pStyle w:val="4"/>
              <w:spacing w:before="0" w:after="0" w:line="360" w:lineRule="auto"/>
              <w:rPr>
                <w:rFonts w:ascii="仿宋_GB2312" w:hAnsi="宋体" w:eastAsia="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731" w:type="dxa"/>
          </w:tcPr>
          <w:p>
            <w:pPr>
              <w:pStyle w:val="4"/>
              <w:spacing w:before="0" w:after="0" w:line="360" w:lineRule="auto"/>
              <w:rPr>
                <w:rFonts w:ascii="仿宋_GB2312" w:hAnsi="宋体" w:eastAsia="仿宋_GB2312"/>
                <w:color w:val="auto"/>
                <w:sz w:val="24"/>
                <w:szCs w:val="24"/>
              </w:rPr>
            </w:pPr>
          </w:p>
        </w:tc>
        <w:tc>
          <w:tcPr>
            <w:tcW w:w="1504" w:type="dxa"/>
            <w:vAlign w:val="center"/>
          </w:tcPr>
          <w:p>
            <w:pPr>
              <w:pStyle w:val="4"/>
              <w:spacing w:before="0" w:after="0" w:line="240" w:lineRule="auto"/>
              <w:ind w:firstLine="310" w:firstLineChars="147"/>
              <w:rPr>
                <w:rFonts w:ascii="仿宋_GB2312" w:hAnsi="宋体" w:eastAsia="仿宋_GB2312"/>
                <w:color w:val="auto"/>
                <w:sz w:val="21"/>
                <w:szCs w:val="21"/>
              </w:rPr>
            </w:pPr>
            <w:r>
              <w:rPr>
                <w:rFonts w:hint="eastAsia" w:ascii="仿宋_GB2312" w:hAnsi="宋体" w:eastAsia="仿宋_GB2312"/>
                <w:color w:val="auto"/>
                <w:sz w:val="21"/>
                <w:szCs w:val="21"/>
              </w:rPr>
              <w:t>合计</w:t>
            </w:r>
          </w:p>
        </w:tc>
        <w:tc>
          <w:tcPr>
            <w:tcW w:w="4787" w:type="dxa"/>
            <w:gridSpan w:val="4"/>
            <w:vAlign w:val="center"/>
          </w:tcPr>
          <w:p>
            <w:pPr>
              <w:pStyle w:val="4"/>
              <w:spacing w:before="0" w:after="0" w:line="240" w:lineRule="auto"/>
              <w:rPr>
                <w:rFonts w:ascii="仿宋_GB2312" w:hAnsi="宋体" w:eastAsia="仿宋_GB2312"/>
                <w:color w:val="auto"/>
                <w:sz w:val="21"/>
                <w:szCs w:val="21"/>
              </w:rPr>
            </w:pPr>
            <w:r>
              <w:rPr>
                <w:rFonts w:hint="eastAsia" w:ascii="仿宋_GB2312" w:hAnsi="宋体" w:eastAsia="仿宋_GB2312"/>
                <w:color w:val="auto"/>
                <w:sz w:val="21"/>
                <w:szCs w:val="21"/>
              </w:rPr>
              <w:t>大写</w:t>
            </w:r>
          </w:p>
        </w:tc>
        <w:tc>
          <w:tcPr>
            <w:tcW w:w="2915" w:type="dxa"/>
            <w:gridSpan w:val="2"/>
            <w:vAlign w:val="center"/>
          </w:tcPr>
          <w:p>
            <w:pPr>
              <w:pStyle w:val="4"/>
              <w:spacing w:before="0" w:after="0" w:line="240" w:lineRule="auto"/>
              <w:rPr>
                <w:rFonts w:ascii="仿宋_GB2312" w:hAnsi="宋体" w:eastAsia="仿宋_GB2312"/>
                <w:color w:val="auto"/>
                <w:sz w:val="21"/>
                <w:szCs w:val="21"/>
              </w:rPr>
            </w:pPr>
            <w:r>
              <w:rPr>
                <w:rFonts w:hint="eastAsia" w:ascii="仿宋_GB2312" w:hAnsi="宋体" w:eastAsia="仿宋_GB2312"/>
                <w:color w:val="auto"/>
                <w:sz w:val="21"/>
                <w:szCs w:val="21"/>
              </w:rPr>
              <w:t>￥</w:t>
            </w:r>
          </w:p>
        </w:tc>
      </w:tr>
    </w:tbl>
    <w:p>
      <w:pPr>
        <w:pStyle w:val="71"/>
        <w:spacing w:beforeLines="50" w:line="360" w:lineRule="auto"/>
        <w:ind w:firstLine="562"/>
        <w:rPr>
          <w:rFonts w:ascii="黑体" w:hAnsi="黑体" w:eastAsia="黑体"/>
          <w:b/>
          <w:color w:val="auto"/>
          <w:sz w:val="28"/>
          <w:szCs w:val="28"/>
        </w:rPr>
      </w:pPr>
      <w:r>
        <w:rPr>
          <w:rFonts w:hint="eastAsia" w:ascii="黑体" w:hAnsi="黑体" w:eastAsia="黑体"/>
          <w:b/>
          <w:color w:val="auto"/>
          <w:sz w:val="28"/>
          <w:szCs w:val="28"/>
        </w:rPr>
        <w:t>第二条 合同价款</w:t>
      </w:r>
    </w:p>
    <w:p>
      <w:pPr>
        <w:pStyle w:val="71"/>
        <w:spacing w:line="500" w:lineRule="exact"/>
        <w:ind w:firstLine="478" w:firstLineChars="171"/>
        <w:rPr>
          <w:rFonts w:ascii="仿宋_GB2312" w:eastAsia="仿宋_GB2312"/>
          <w:color w:val="auto"/>
          <w:sz w:val="28"/>
          <w:szCs w:val="28"/>
        </w:rPr>
      </w:pPr>
      <w:r>
        <w:rPr>
          <w:rFonts w:hint="eastAsia" w:ascii="仿宋_GB2312" w:eastAsia="仿宋_GB2312"/>
          <w:color w:val="auto"/>
          <w:sz w:val="28"/>
          <w:szCs w:val="28"/>
        </w:rPr>
        <w:t>1.合同总价：人民币（大写）</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元，（￥</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w:t>
      </w:r>
    </w:p>
    <w:p>
      <w:pPr>
        <w:pStyle w:val="71"/>
        <w:spacing w:line="500" w:lineRule="exact"/>
        <w:ind w:firstLine="478" w:firstLineChars="171"/>
        <w:rPr>
          <w:rFonts w:ascii="仿宋_GB2312" w:eastAsia="仿宋_GB2312"/>
          <w:color w:val="auto"/>
          <w:sz w:val="28"/>
          <w:szCs w:val="28"/>
        </w:rPr>
      </w:pPr>
      <w:r>
        <w:rPr>
          <w:rFonts w:hint="eastAsia" w:ascii="仿宋_GB2312" w:eastAsia="仿宋_GB2312"/>
          <w:color w:val="auto"/>
          <w:sz w:val="28"/>
          <w:szCs w:val="28"/>
        </w:rPr>
        <w:t>2.本项目为运至甲方指定地点并经安装、调试（或试运转）、检测、验收合格、交付使用价格。</w:t>
      </w:r>
    </w:p>
    <w:p>
      <w:pPr>
        <w:pStyle w:val="71"/>
        <w:spacing w:line="500" w:lineRule="exact"/>
        <w:ind w:firstLine="478" w:firstLineChars="171"/>
        <w:rPr>
          <w:rFonts w:ascii="仿宋_GB2312" w:eastAsia="仿宋_GB2312"/>
          <w:color w:val="auto"/>
          <w:sz w:val="28"/>
          <w:szCs w:val="28"/>
        </w:rPr>
      </w:pPr>
      <w:r>
        <w:rPr>
          <w:rFonts w:hint="eastAsia" w:ascii="仿宋_GB2312" w:eastAsia="仿宋_GB2312"/>
          <w:color w:val="auto"/>
          <w:sz w:val="28"/>
          <w:szCs w:val="28"/>
        </w:rPr>
        <w:t>本合同价款包含但不仅限于：所需全部货物（含货物设计、制造、供货、样品、附件、备品备件、易损件、工具、包装、运输、保险、检验试验、仓储保管、装卸、税金等）、测量费、设计费、拆除费、安装费、调试费、检测、验收（含第三方检测和验收）、技术服务、技术培训、恢复原状费、售后服务费、管理费、利润、风险、劳动保护费、防暑降温费、特殊季节施工增加费、特殊环境施工增加费、二次搬运费、测量放线费、定位复测费、检验试验费、成品保护费、安全文明施工费、临时设施费、大型机械进出场费、环境保护费、治污减霾费、垃圾清运费、协调费、养老保险、社会统筹、保险、税金、附加费、保修费、采购代理服务费、政府文件规定费用及招标文件明示或暗示的全部费用（包括人工、材料、机械等价格上涨风险费用），同时还应充分考虑为完成本项目所需的其他一切成本、利润、税金和风险。</w:t>
      </w:r>
    </w:p>
    <w:p>
      <w:pPr>
        <w:spacing w:line="500" w:lineRule="exact"/>
        <w:ind w:firstLine="560" w:firstLineChars="200"/>
        <w:rPr>
          <w:rFonts w:ascii="仿宋_GB2312" w:eastAsia="仿宋_GB2312"/>
          <w:color w:val="auto"/>
          <w:sz w:val="28"/>
          <w:szCs w:val="28"/>
        </w:rPr>
      </w:pPr>
      <w:r>
        <w:rPr>
          <w:rFonts w:hint="eastAsia" w:ascii="仿宋_GB2312" w:hAnsi="宋体" w:eastAsia="仿宋_GB2312" w:cs="宋体"/>
          <w:color w:val="auto"/>
          <w:kern w:val="0"/>
          <w:sz w:val="28"/>
          <w:szCs w:val="28"/>
        </w:rPr>
        <w:t>本合同价款中同时还包含智能LED教室灯、智能教室黑板灯、光环境场景控制器及其他配套设施、设备等的采购、安装及调试、原灯具拆除及线路改造、恢复原装修效果、现场清理、垃圾外运等费用。</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本项目在施工过程中发生的土建、装修、水电等工作内容，包含在合同总价内，甲方不再另行支付和承担由此产生的任何费用。</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合同价款不因市场及政策变化因素的影响而予以调整，甲方无须另向乙方支付本合同规定之外的其他任何费用。因实际供货数量发生变化的，根据合同单价据实结算。</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甲方不提供水电、临时住宿、库房、现场办公等条件；在校内不得动用明火、不得在校内设置食堂和宿舍；乙方在现场的所有设备、材料和货物等物品的保管责任由乙方自负。</w:t>
      </w:r>
    </w:p>
    <w:p>
      <w:pPr>
        <w:pStyle w:val="71"/>
        <w:spacing w:beforeLines="50" w:line="360" w:lineRule="auto"/>
        <w:ind w:firstLine="562"/>
        <w:rPr>
          <w:rFonts w:ascii="黑体" w:hAnsi="黑体" w:eastAsia="黑体"/>
          <w:b/>
          <w:color w:val="auto"/>
          <w:sz w:val="28"/>
          <w:szCs w:val="28"/>
        </w:rPr>
      </w:pPr>
      <w:r>
        <w:rPr>
          <w:rFonts w:hint="eastAsia" w:ascii="黑体" w:hAnsi="黑体" w:eastAsia="黑体"/>
          <w:b/>
          <w:color w:val="auto"/>
          <w:sz w:val="28"/>
          <w:szCs w:val="28"/>
        </w:rPr>
        <w:t>第三条 合同文件</w:t>
      </w:r>
    </w:p>
    <w:p>
      <w:pPr>
        <w:pStyle w:val="71"/>
        <w:spacing w:line="500" w:lineRule="exact"/>
        <w:ind w:firstLine="478" w:firstLineChars="171"/>
        <w:rPr>
          <w:rFonts w:ascii="仿宋_GB2312" w:eastAsia="仿宋_GB2312"/>
          <w:color w:val="auto"/>
          <w:sz w:val="28"/>
          <w:szCs w:val="28"/>
        </w:rPr>
      </w:pPr>
      <w:r>
        <w:rPr>
          <w:rFonts w:hint="eastAsia" w:ascii="仿宋_GB2312" w:eastAsia="仿宋_GB2312"/>
          <w:color w:val="auto"/>
          <w:sz w:val="28"/>
          <w:szCs w:val="28"/>
        </w:rPr>
        <w:t>下列文件是构成本合同不可分割的部分，与合同具有同等法律效力：</w:t>
      </w:r>
    </w:p>
    <w:p>
      <w:pPr>
        <w:pStyle w:val="71"/>
        <w:spacing w:line="500" w:lineRule="exact"/>
        <w:ind w:firstLine="478" w:firstLineChars="171"/>
        <w:rPr>
          <w:rFonts w:ascii="仿宋_GB2312" w:eastAsia="仿宋_GB2312"/>
          <w:color w:val="auto"/>
          <w:sz w:val="28"/>
          <w:szCs w:val="28"/>
        </w:rPr>
      </w:pPr>
      <w:r>
        <w:rPr>
          <w:rFonts w:hint="eastAsia" w:ascii="仿宋_GB2312" w:eastAsia="仿宋_GB2312"/>
          <w:color w:val="auto"/>
          <w:sz w:val="28"/>
          <w:szCs w:val="28"/>
        </w:rPr>
        <w:t xml:space="preserve">（1）本项目招标文件及相应澄清和修改； </w:t>
      </w:r>
    </w:p>
    <w:p>
      <w:pPr>
        <w:pStyle w:val="71"/>
        <w:spacing w:line="500" w:lineRule="exact"/>
        <w:ind w:firstLine="478" w:firstLineChars="171"/>
        <w:rPr>
          <w:rFonts w:ascii="仿宋_GB2312" w:eastAsia="仿宋_GB2312"/>
          <w:color w:val="auto"/>
          <w:sz w:val="28"/>
          <w:szCs w:val="28"/>
        </w:rPr>
      </w:pPr>
      <w:r>
        <w:rPr>
          <w:rFonts w:hint="eastAsia" w:ascii="仿宋_GB2312" w:eastAsia="仿宋_GB2312"/>
          <w:color w:val="auto"/>
          <w:sz w:val="28"/>
          <w:szCs w:val="28"/>
        </w:rPr>
        <w:t>（2）乙方投标文件；</w:t>
      </w:r>
    </w:p>
    <w:p>
      <w:pPr>
        <w:pStyle w:val="71"/>
        <w:spacing w:line="500" w:lineRule="exact"/>
        <w:ind w:firstLine="478" w:firstLineChars="171"/>
        <w:rPr>
          <w:rFonts w:ascii="仿宋_GB2312" w:eastAsia="仿宋_GB2312"/>
          <w:color w:val="auto"/>
          <w:sz w:val="28"/>
          <w:szCs w:val="28"/>
        </w:rPr>
      </w:pPr>
      <w:r>
        <w:rPr>
          <w:rFonts w:hint="eastAsia" w:ascii="仿宋_GB2312" w:eastAsia="仿宋_GB2312"/>
          <w:color w:val="auto"/>
          <w:sz w:val="28"/>
          <w:szCs w:val="28"/>
        </w:rPr>
        <w:t>（3）乙方的其它承诺、声明、书面澄清等；</w:t>
      </w:r>
    </w:p>
    <w:p>
      <w:pPr>
        <w:pStyle w:val="71"/>
        <w:spacing w:line="500" w:lineRule="exact"/>
        <w:ind w:firstLine="478" w:firstLineChars="171"/>
        <w:rPr>
          <w:rFonts w:ascii="仿宋_GB2312" w:eastAsia="仿宋_GB2312"/>
          <w:color w:val="auto"/>
          <w:sz w:val="28"/>
          <w:szCs w:val="28"/>
        </w:rPr>
      </w:pPr>
      <w:r>
        <w:rPr>
          <w:rFonts w:hint="eastAsia" w:ascii="仿宋_GB2312" w:eastAsia="仿宋_GB2312"/>
          <w:color w:val="auto"/>
          <w:sz w:val="28"/>
          <w:szCs w:val="28"/>
        </w:rPr>
        <w:t xml:space="preserve">（4）中标通知书； </w:t>
      </w:r>
    </w:p>
    <w:p>
      <w:pPr>
        <w:pStyle w:val="71"/>
        <w:spacing w:line="500" w:lineRule="exact"/>
        <w:ind w:firstLine="478" w:firstLineChars="171"/>
        <w:rPr>
          <w:rFonts w:ascii="仿宋_GB2312" w:eastAsia="仿宋_GB2312"/>
          <w:color w:val="auto"/>
          <w:sz w:val="28"/>
          <w:szCs w:val="28"/>
        </w:rPr>
      </w:pPr>
      <w:r>
        <w:rPr>
          <w:rFonts w:hint="eastAsia" w:ascii="仿宋_GB2312" w:eastAsia="仿宋_GB2312"/>
          <w:color w:val="auto"/>
          <w:sz w:val="28"/>
          <w:szCs w:val="28"/>
        </w:rPr>
        <w:t>（5）甲方、乙方商定的其他必要文件、补充合同或协议。</w:t>
      </w:r>
    </w:p>
    <w:p>
      <w:pPr>
        <w:pStyle w:val="71"/>
        <w:spacing w:line="500" w:lineRule="exact"/>
        <w:ind w:firstLine="478" w:firstLineChars="171"/>
        <w:rPr>
          <w:rFonts w:ascii="仿宋_GB2312" w:eastAsia="仿宋_GB2312"/>
          <w:color w:val="auto"/>
          <w:sz w:val="28"/>
          <w:szCs w:val="28"/>
        </w:rPr>
      </w:pPr>
      <w:r>
        <w:rPr>
          <w:rFonts w:hint="eastAsia" w:ascii="仿宋_GB2312" w:eastAsia="仿宋_GB2312"/>
          <w:color w:val="auto"/>
          <w:sz w:val="28"/>
          <w:szCs w:val="28"/>
        </w:rPr>
        <w:t>合同文件是一个整体，其内容互为补充。</w:t>
      </w:r>
    </w:p>
    <w:p>
      <w:pPr>
        <w:pStyle w:val="71"/>
        <w:spacing w:beforeLines="50" w:line="360" w:lineRule="auto"/>
        <w:ind w:firstLine="562"/>
        <w:rPr>
          <w:rFonts w:ascii="黑体" w:hAnsi="黑体" w:eastAsia="黑体"/>
          <w:b/>
          <w:color w:val="auto"/>
          <w:sz w:val="28"/>
          <w:szCs w:val="28"/>
        </w:rPr>
      </w:pPr>
      <w:r>
        <w:rPr>
          <w:rFonts w:hint="eastAsia" w:ascii="黑体" w:hAnsi="黑体" w:eastAsia="黑体"/>
          <w:b/>
          <w:color w:val="auto"/>
          <w:sz w:val="28"/>
          <w:szCs w:val="28"/>
        </w:rPr>
        <w:t>第四条 货款支付</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w:t>
      </w:r>
      <w:r>
        <w:rPr>
          <w:rFonts w:hint="eastAsia" w:ascii="仿宋_GB2312" w:hAnsi="宋体" w:eastAsia="仿宋_GB2312" w:cs="宋体"/>
          <w:color w:val="auto"/>
          <w:kern w:val="0"/>
          <w:sz w:val="28"/>
          <w:szCs w:val="28"/>
        </w:rPr>
        <w:t xml:space="preserve"> 全部货物安装、调试、验收合格交付使用后办理结算手续，乙方根据甲方审定的结算金额开具符合财政要求的全额正式税务发票并提出结算付款申请，甲方根据结算付款审批程序办理付款手续</w:t>
      </w:r>
      <w:r>
        <w:rPr>
          <w:rFonts w:hint="eastAsia" w:ascii="仿宋_GB2312" w:hAnsi="宋体" w:eastAsia="仿宋_GB2312"/>
          <w:bCs/>
          <w:color w:val="auto"/>
          <w:sz w:val="28"/>
          <w:szCs w:val="28"/>
        </w:rPr>
        <w:t>（预留5%质量保证金，质保期满，办理质保金付款手续，经审批后予以支付）</w:t>
      </w:r>
      <w:r>
        <w:rPr>
          <w:rFonts w:hint="eastAsia" w:ascii="仿宋_GB2312" w:hAnsi="宋体" w:eastAsia="仿宋_GB2312" w:cs="宋体"/>
          <w:color w:val="auto"/>
          <w:kern w:val="0"/>
          <w:sz w:val="28"/>
          <w:szCs w:val="28"/>
        </w:rPr>
        <w:t>。</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2.结算方式：银行转账。</w:t>
      </w:r>
    </w:p>
    <w:p>
      <w:pPr>
        <w:pStyle w:val="71"/>
        <w:spacing w:beforeLines="50" w:line="360" w:lineRule="auto"/>
        <w:ind w:firstLine="562"/>
        <w:rPr>
          <w:rFonts w:ascii="黑体" w:hAnsi="黑体" w:eastAsia="黑体"/>
          <w:b/>
          <w:color w:val="auto"/>
          <w:sz w:val="28"/>
          <w:szCs w:val="28"/>
        </w:rPr>
      </w:pPr>
      <w:r>
        <w:rPr>
          <w:rFonts w:hint="eastAsia" w:ascii="黑体" w:hAnsi="黑体" w:eastAsia="黑体"/>
          <w:b/>
          <w:color w:val="auto"/>
          <w:sz w:val="28"/>
          <w:szCs w:val="28"/>
        </w:rPr>
        <w:t>第五条 交货时间与地点</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乙方在合同签订生效之日起，按甲方指定时间、地点交货。</w:t>
      </w:r>
    </w:p>
    <w:p>
      <w:pPr>
        <w:pStyle w:val="2"/>
        <w:spacing w:after="0" w:line="500" w:lineRule="exact"/>
        <w:ind w:firstLine="560" w:firstLineChars="200"/>
        <w:rPr>
          <w:rFonts w:ascii="仿宋_GB2312" w:eastAsia="仿宋_GB2312"/>
          <w:color w:val="auto"/>
          <w:sz w:val="28"/>
          <w:szCs w:val="28"/>
          <w:u w:val="single"/>
        </w:rPr>
      </w:pPr>
      <w:r>
        <w:rPr>
          <w:rFonts w:hint="eastAsia" w:ascii="仿宋_GB2312" w:eastAsia="仿宋_GB2312"/>
          <w:color w:val="auto"/>
          <w:sz w:val="28"/>
          <w:szCs w:val="28"/>
        </w:rPr>
        <w:t>1.交货时间（期限）：</w:t>
      </w:r>
      <w:r>
        <w:rPr>
          <w:rFonts w:hint="eastAsia" w:ascii="仿宋_GB2312" w:eastAsia="仿宋_GB2312"/>
          <w:color w:val="auto"/>
          <w:sz w:val="28"/>
          <w:szCs w:val="28"/>
          <w:u w:val="single"/>
        </w:rPr>
        <w:t xml:space="preserve">                     </w:t>
      </w:r>
      <w:r>
        <w:rPr>
          <w:rFonts w:hint="eastAsia" w:ascii="仿宋_GB2312" w:hAnsi="宋体" w:eastAsia="仿宋_GB2312" w:cs="宋体"/>
          <w:color w:val="auto"/>
          <w:kern w:val="0"/>
          <w:sz w:val="28"/>
          <w:szCs w:val="28"/>
        </w:rPr>
        <w:t>，全部采购内容应在合同约定的交货期内安装、调试、检测完毕并经验收、交付使用，逾期按违约处理。</w:t>
      </w:r>
    </w:p>
    <w:p>
      <w:pPr>
        <w:pStyle w:val="2"/>
        <w:spacing w:after="0" w:line="500" w:lineRule="exact"/>
        <w:ind w:firstLine="560" w:firstLineChars="200"/>
        <w:rPr>
          <w:color w:val="auto"/>
        </w:rPr>
      </w:pPr>
      <w:r>
        <w:rPr>
          <w:rFonts w:hint="eastAsia" w:ascii="仿宋_GB2312" w:eastAsia="仿宋_GB2312"/>
          <w:color w:val="auto"/>
          <w:sz w:val="28"/>
          <w:szCs w:val="28"/>
        </w:rPr>
        <w:t>2.交货地点：甲方指定地点。</w:t>
      </w:r>
    </w:p>
    <w:p>
      <w:pPr>
        <w:pStyle w:val="71"/>
        <w:spacing w:beforeLines="50" w:line="360" w:lineRule="auto"/>
        <w:ind w:firstLine="562"/>
        <w:rPr>
          <w:rFonts w:ascii="黑体" w:hAnsi="黑体" w:eastAsia="黑体"/>
          <w:b/>
          <w:color w:val="auto"/>
          <w:sz w:val="28"/>
          <w:szCs w:val="28"/>
        </w:rPr>
      </w:pPr>
      <w:r>
        <w:rPr>
          <w:rFonts w:hint="eastAsia" w:ascii="黑体" w:hAnsi="黑体" w:eastAsia="黑体"/>
          <w:b/>
          <w:color w:val="auto"/>
          <w:sz w:val="28"/>
          <w:szCs w:val="28"/>
        </w:rPr>
        <w:t>第六条 货物包装、发运及运输</w:t>
      </w:r>
    </w:p>
    <w:p>
      <w:pPr>
        <w:autoSpaceDE w:val="0"/>
        <w:autoSpaceDN w:val="0"/>
        <w:spacing w:line="500" w:lineRule="exact"/>
        <w:ind w:firstLine="560" w:firstLineChars="200"/>
        <w:textAlignment w:val="bottom"/>
        <w:rPr>
          <w:rFonts w:ascii="仿宋_GB2312" w:hAnsi="宋体" w:eastAsia="仿宋_GB2312" w:cs="宋体"/>
          <w:color w:val="auto"/>
          <w:sz w:val="28"/>
          <w:szCs w:val="28"/>
        </w:rPr>
      </w:pPr>
      <w:r>
        <w:rPr>
          <w:rFonts w:hint="eastAsia" w:ascii="仿宋_GB2312" w:hAnsi="宋体" w:eastAsia="仿宋_GB2312" w:cs="宋体"/>
          <w:color w:val="auto"/>
          <w:sz w:val="28"/>
          <w:szCs w:val="28"/>
        </w:rPr>
        <w:t>1.</w:t>
      </w:r>
      <w:r>
        <w:rPr>
          <w:rFonts w:hint="eastAsia"/>
          <w:color w:val="auto"/>
        </w:rPr>
        <w:t xml:space="preserve"> </w:t>
      </w:r>
      <w:r>
        <w:rPr>
          <w:rFonts w:hint="eastAsia" w:ascii="仿宋_GB2312" w:hAnsi="宋体" w:eastAsia="仿宋_GB2312" w:cs="宋体"/>
          <w:color w:val="auto"/>
          <w:sz w:val="28"/>
          <w:szCs w:val="28"/>
        </w:rPr>
        <w:t>除合同另有规定外，乙方提供的全部货物均应按标准保护措施进行包装，该包装应适应于远距离运输、防潮、防震、防锈和防野蛮装卸，以确保货物安全运抵安装地点。</w:t>
      </w:r>
    </w:p>
    <w:p>
      <w:pPr>
        <w:autoSpaceDE w:val="0"/>
        <w:autoSpaceDN w:val="0"/>
        <w:spacing w:line="500" w:lineRule="exact"/>
        <w:ind w:firstLine="560" w:firstLineChars="200"/>
        <w:textAlignment w:val="bottom"/>
        <w:rPr>
          <w:rFonts w:ascii="仿宋_GB2312" w:hAnsi="宋体" w:eastAsia="仿宋_GB2312" w:cs="宋体"/>
          <w:color w:val="auto"/>
          <w:sz w:val="28"/>
          <w:szCs w:val="28"/>
        </w:rPr>
      </w:pPr>
      <w:r>
        <w:rPr>
          <w:rFonts w:hint="eastAsia" w:ascii="仿宋_GB2312" w:hAnsi="宋体" w:eastAsia="仿宋_GB2312" w:cs="宋体"/>
          <w:color w:val="auto"/>
          <w:sz w:val="28"/>
          <w:szCs w:val="28"/>
        </w:rPr>
        <w:t>2当货物（产品）包装使用塑料、纸质、木材等包装材料时，除应当按照国家、行业规定的包装标准进行包装外，乙方还需按照《商品包装政府采购需求标准（试行）》（财办库[2020]）123号）规定的环保要求进行包装。</w:t>
      </w:r>
    </w:p>
    <w:p>
      <w:pPr>
        <w:autoSpaceDE w:val="0"/>
        <w:autoSpaceDN w:val="0"/>
        <w:spacing w:line="500" w:lineRule="exact"/>
        <w:ind w:firstLine="560" w:firstLineChars="200"/>
        <w:textAlignment w:val="bottom"/>
        <w:rPr>
          <w:color w:val="auto"/>
        </w:rPr>
      </w:pPr>
      <w:r>
        <w:rPr>
          <w:rFonts w:hint="eastAsia" w:ascii="仿宋_GB2312" w:hAnsi="宋体" w:eastAsia="仿宋_GB2312" w:cs="宋体"/>
          <w:color w:val="auto"/>
          <w:sz w:val="28"/>
          <w:szCs w:val="28"/>
        </w:rPr>
        <w:t>3.当货物（产品）采用快递交货方式时，快递包装除应当按照国家、行业规定的包装标准进行包装外，乙方还需按照《快递包装政府采购需求标准（试行）》（财办库[2020]）123号）规定的环保要求进行包装。</w:t>
      </w:r>
    </w:p>
    <w:p>
      <w:pPr>
        <w:autoSpaceDE w:val="0"/>
        <w:autoSpaceDN w:val="0"/>
        <w:spacing w:line="500" w:lineRule="exact"/>
        <w:ind w:firstLine="560" w:firstLineChars="200"/>
        <w:textAlignment w:val="bottom"/>
        <w:rPr>
          <w:rFonts w:ascii="仿宋_GB2312" w:hAnsi="宋体" w:eastAsia="仿宋_GB2312" w:cs="宋体"/>
          <w:color w:val="auto"/>
          <w:sz w:val="28"/>
          <w:szCs w:val="28"/>
        </w:rPr>
      </w:pPr>
      <w:r>
        <w:rPr>
          <w:rFonts w:hint="eastAsia" w:ascii="仿宋_GB2312" w:hAnsi="宋体" w:eastAsia="仿宋_GB2312" w:cs="宋体"/>
          <w:color w:val="auto"/>
          <w:sz w:val="28"/>
          <w:szCs w:val="28"/>
        </w:rPr>
        <w:t>4.全部货物运输由乙方负责，运输费、装卸费、仓储保管费、损耗等已包含在合同总价内。</w:t>
      </w:r>
    </w:p>
    <w:p>
      <w:pPr>
        <w:autoSpaceDE w:val="0"/>
        <w:autoSpaceDN w:val="0"/>
        <w:spacing w:line="500" w:lineRule="exact"/>
        <w:ind w:firstLine="560" w:firstLineChars="200"/>
        <w:textAlignment w:val="bottom"/>
        <w:rPr>
          <w:rFonts w:ascii="仿宋_GB2312" w:hAnsi="宋体" w:eastAsia="仿宋_GB2312" w:cs="宋体"/>
          <w:color w:val="auto"/>
          <w:sz w:val="28"/>
          <w:szCs w:val="28"/>
        </w:rPr>
      </w:pPr>
      <w:r>
        <w:rPr>
          <w:rFonts w:hint="eastAsia" w:ascii="仿宋_GB2312" w:hAnsi="宋体" w:eastAsia="仿宋_GB2312" w:cs="宋体"/>
          <w:color w:val="auto"/>
          <w:sz w:val="28"/>
          <w:szCs w:val="28"/>
        </w:rPr>
        <w:t>5.运输方式由乙方自行选择，但必须保证按期交付。不得断货，因断货造成的损失由供货商负责赔偿。</w:t>
      </w:r>
    </w:p>
    <w:p>
      <w:pPr>
        <w:autoSpaceDE w:val="0"/>
        <w:autoSpaceDN w:val="0"/>
        <w:spacing w:line="500" w:lineRule="exact"/>
        <w:ind w:firstLine="560" w:firstLineChars="200"/>
        <w:textAlignment w:val="bottom"/>
        <w:rPr>
          <w:rFonts w:ascii="仿宋_GB2312" w:hAnsi="宋体" w:eastAsia="仿宋_GB2312" w:cs="宋体"/>
          <w:color w:val="auto"/>
          <w:sz w:val="28"/>
          <w:szCs w:val="28"/>
        </w:rPr>
      </w:pPr>
      <w:r>
        <w:rPr>
          <w:rFonts w:hint="eastAsia" w:ascii="仿宋_GB2312" w:hAnsi="宋体" w:eastAsia="仿宋_GB2312" w:cs="宋体"/>
          <w:color w:val="auto"/>
          <w:sz w:val="28"/>
          <w:szCs w:val="28"/>
        </w:rPr>
        <w:t>6.使用说明书、质量检验证明书、随配附件和工具以及清单一并附于货物内。</w:t>
      </w:r>
    </w:p>
    <w:p>
      <w:pPr>
        <w:autoSpaceDE w:val="0"/>
        <w:autoSpaceDN w:val="0"/>
        <w:spacing w:line="500" w:lineRule="exact"/>
        <w:ind w:firstLine="560" w:firstLineChars="200"/>
        <w:textAlignment w:val="bottom"/>
        <w:rPr>
          <w:rFonts w:ascii="仿宋_GB2312" w:hAnsi="宋体" w:eastAsia="仿宋_GB2312" w:cs="宋体"/>
          <w:color w:val="auto"/>
          <w:sz w:val="28"/>
          <w:szCs w:val="28"/>
        </w:rPr>
      </w:pPr>
      <w:r>
        <w:rPr>
          <w:rFonts w:hint="eastAsia" w:ascii="仿宋_GB2312" w:hAnsi="宋体" w:eastAsia="仿宋_GB2312" w:cs="宋体"/>
          <w:color w:val="auto"/>
          <w:sz w:val="28"/>
          <w:szCs w:val="28"/>
        </w:rPr>
        <w:t>7.货物在交付并甲方验收前发生的任何风险均由乙方负责。</w:t>
      </w:r>
    </w:p>
    <w:p>
      <w:pPr>
        <w:pStyle w:val="71"/>
        <w:spacing w:beforeLines="50" w:line="360" w:lineRule="auto"/>
        <w:ind w:firstLine="562"/>
        <w:rPr>
          <w:rFonts w:ascii="黑体" w:hAnsi="黑体" w:eastAsia="黑体"/>
          <w:b/>
          <w:color w:val="auto"/>
          <w:sz w:val="28"/>
          <w:szCs w:val="28"/>
        </w:rPr>
      </w:pPr>
      <w:r>
        <w:rPr>
          <w:rFonts w:hint="eastAsia" w:ascii="黑体" w:hAnsi="黑体" w:eastAsia="黑体"/>
          <w:b/>
          <w:color w:val="auto"/>
          <w:sz w:val="28"/>
          <w:szCs w:val="28"/>
        </w:rPr>
        <w:t>第七条 质量保证</w:t>
      </w:r>
    </w:p>
    <w:p>
      <w:pPr>
        <w:pStyle w:val="2"/>
        <w:spacing w:after="0" w:line="500" w:lineRule="exact"/>
        <w:ind w:firstLine="560" w:firstLineChars="200"/>
        <w:rPr>
          <w:rFonts w:ascii="仿宋_GB2312" w:eastAsia="仿宋_GB2312"/>
          <w:color w:val="auto"/>
          <w:sz w:val="28"/>
          <w:szCs w:val="28"/>
        </w:rPr>
      </w:pPr>
      <w:r>
        <w:rPr>
          <w:rFonts w:hint="eastAsia" w:ascii="仿宋_GB2312" w:hAnsi="宋体" w:eastAsia="仿宋_GB2312" w:cs="宋体"/>
          <w:color w:val="auto"/>
          <w:kern w:val="0"/>
          <w:sz w:val="28"/>
          <w:szCs w:val="28"/>
        </w:rPr>
        <w:t>1.质保期：全部货物质保期均为</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年（自全部货物验收合格之日起算）；质保期内因产品本身缺</w:t>
      </w:r>
      <w:r>
        <w:rPr>
          <w:rFonts w:hint="eastAsia" w:ascii="仿宋_GB2312" w:eastAsia="仿宋_GB2312"/>
          <w:color w:val="auto"/>
          <w:sz w:val="28"/>
          <w:szCs w:val="28"/>
        </w:rPr>
        <w:t>陷（非人为因素）造成各种故障应由乙方免费技术服务和维修直至更换，费用由乙方承担。</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质保期满后，甲方可以委托具有相关资质的第三方实行全面检测，如具体指标（桌面及黑板照度，色温，显指，频闪，蓝光等）达不到国标要求，全校的照明需要整体换新，同时甲方将保留法律诉讼的权利</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2.质保金：留合同总价款的5％作为质量保证金，质保期满后无息退还质量保证金。</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3.</w:t>
      </w:r>
      <w:r>
        <w:rPr>
          <w:rFonts w:hint="eastAsia"/>
          <w:color w:val="auto"/>
        </w:rPr>
        <w:t xml:space="preserve"> </w:t>
      </w:r>
      <w:r>
        <w:rPr>
          <w:rFonts w:hint="eastAsia" w:ascii="仿宋_GB2312" w:eastAsia="仿宋_GB2312"/>
          <w:color w:val="auto"/>
          <w:sz w:val="28"/>
          <w:szCs w:val="28"/>
        </w:rPr>
        <w:t>乙方提供的货物必须是具有合法来源、质量合格、环保指标达到国家相关标准、符合国家相关规定的产品，必须是全新的、安全可靠的、完整的、未使用过的合格正品货物（含零部件、配件等），完全符合合同规定的质量、规格和性能的要求，严禁提供旧货翻新或假冒伪劣产品或次品、残品。凡因货物本身或其相关事宜引起的责任事故均由乙方承担。</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4.乙方提供的节能、环境标志产品必须是列入节能、环保标志产品品目清单中的产品。</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5.质量标准按照最新颁布的国家标准、行业标准或制造商企业标准确定，上述标准不一致的，以严格标准为准。</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6.乙方所提供货物还应符合国家和陕西省有关安全、环保、节能之规定，“CCC”认证的货物（产品）应加贴“CCC”认证标志。</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7.货物制造质量出现问题，乙方应负责三包（包修、包换、包退），费用由乙方负担，甲方有权到乙方生产场地检查货物质量和生产进度。</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8.乙方提供的货物经正确安装、正常运转和保养，在其使用寿命期内须具有符合质量要求和产品说明书的性能。在货物质量保证期之内，乙方须对由于设计、工艺或材料的缺陷而发生的任何不足或故障负责。</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9.乙方所供货物或材料具备无合法来源、质量不合格、环保指标达不到国家相关标准、不符合国家相关规定、属于国家强制认证类产品而未提供有效证明材料、无检测报告、技术资料不齐全等条件之一的，甲方有权拒绝该本项目通过验收，乙方必须责无旁贷的在甲方要求时间内予以更换，所引起的费用或损失由乙方承担。乙方拒不更换的，按乙方违约处理（按照该项货物市场价值2倍的金额向甲方支付违约金，但不免除乙方给予更换符合要求的货物的责任），情节严重者，甲方有权单方解除合同并由乙方向甲方支付按照该项货物市场价值2倍的金额向甲方支付违约金。</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货物的合法来源：由乙方向甲方提供有效证明材料。</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质量、环保指标：由乙方向甲方提供权威机构出具的检测报告、检验报告、试验报告或货物制造商、生产商出具的产品出厂质量证明材料。</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10.随机抽检</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甲方抽定抽检对象，委托能出具含有CMA和CNAS标志检测报告的国家级资质检测机构进行检测，检测费用由乙方承担。检测(查)项目如下:</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（1）产品抽检</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乙方发货到甲方指定安装地点，整个交货期内，甲方有权对教室灯和黑板灯灯具随机进行抽检。</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抽检数量：分别抽检黑板灯灯具、教室灯灯具各2套。</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检测项目：灯具的光源色温、蓝光危害等级、光频闪危害、显色指数、整灯功率、功率因数、电磁辐射。</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抽检产品的检测报告与投标产品检测报告进行比对，如有指标出现负偏离，甲方有权要求乙方进行整改，情节严重的，甲方有权单方解除合同。</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（2）教室整体环境检测(查)</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施工完毕后，对教室整体灯光环境进行抽检，检测（查）的内容同样板间一致。</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抽检结果必须合格。如出现抽检不合格，甲方有权要求乙方进行整改，整改完成后，以抽检不合格数量加一倍继续抽检，直至抽检合格。</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如乙方整改未解决问题的，甲方有权单方面提前终止合同，对乙方不作任何赔偿或补偿。</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11.甲方有权从已安装的灯具中抽取检2支教室灯和2支黑板灯到有法定的国家级资质检测机构（能出具的含有CMA和CNAS标志的检测报告)进行一次检测，检测费用由乙方承担。若不满足招标文件要求的应及时整改或更换。</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12. 在质保期内，乙方应免费提供货物正常使用情况下的维修及保养服务，在非人为因素情况下，一切维护费用均由乙方负责。质保期内货物本身质量出现问题或由于货物本身质量原因造成的任何损伤或损坏，乙方应及时给予免费维修或免费更换，由此引起的施工费、人工费、材料费等一切费用由乙方负责。</w:t>
      </w:r>
    </w:p>
    <w:p>
      <w:pPr>
        <w:pStyle w:val="71"/>
        <w:spacing w:beforeLines="50" w:line="360" w:lineRule="auto"/>
        <w:ind w:firstLine="562"/>
        <w:rPr>
          <w:rFonts w:ascii="黑体" w:hAnsi="黑体" w:eastAsia="黑体"/>
          <w:b/>
          <w:color w:val="auto"/>
          <w:sz w:val="28"/>
          <w:szCs w:val="28"/>
        </w:rPr>
      </w:pPr>
      <w:r>
        <w:rPr>
          <w:rFonts w:hint="eastAsia" w:ascii="黑体" w:hAnsi="黑体" w:eastAsia="黑体"/>
          <w:b/>
          <w:color w:val="auto"/>
          <w:sz w:val="28"/>
          <w:szCs w:val="28"/>
        </w:rPr>
        <w:t>第八条 权利保证</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1.乙方保证对其出售的货物享有合法的权利。</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2.乙方保证对其出售的货物上不存在任何未曾向甲方透露的担保物权，如抵押权、质押权、留置权。</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3.乙方保证对其出售的货物或其任何一部分没有侵犯第三方的专利权、版权、商标权或其他权利。</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4.如甲方在使用该货物构成上述侵权的，则由乙方承担全部责任。</w:t>
      </w:r>
    </w:p>
    <w:p>
      <w:pPr>
        <w:pStyle w:val="71"/>
        <w:spacing w:beforeLines="50" w:line="360" w:lineRule="auto"/>
        <w:ind w:firstLine="562"/>
        <w:rPr>
          <w:rFonts w:ascii="黑体" w:hAnsi="黑体" w:eastAsia="黑体"/>
          <w:b/>
          <w:color w:val="auto"/>
          <w:sz w:val="28"/>
          <w:szCs w:val="28"/>
        </w:rPr>
      </w:pPr>
      <w:r>
        <w:rPr>
          <w:rFonts w:hint="eastAsia" w:ascii="黑体" w:hAnsi="黑体" w:eastAsia="黑体"/>
          <w:b/>
          <w:color w:val="auto"/>
          <w:sz w:val="28"/>
          <w:szCs w:val="28"/>
        </w:rPr>
        <w:t>第九条 知识产权</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乙方应保证在本项目使用的任何货物（包括部分使用）和服务时，不会产生因第三方提出侵犯其专利权、商标权或其它知识产权而引起的法律和经济纠纷，如因专利权、商标权或其它知识产权而引起法律和经济纠纷，由乙方承担所有相关责任。</w:t>
      </w:r>
    </w:p>
    <w:p>
      <w:pPr>
        <w:pStyle w:val="71"/>
        <w:spacing w:beforeLines="50" w:line="360" w:lineRule="auto"/>
        <w:ind w:firstLine="562"/>
        <w:rPr>
          <w:rFonts w:ascii="黑体" w:hAnsi="黑体" w:eastAsia="黑体"/>
          <w:b/>
          <w:color w:val="auto"/>
          <w:sz w:val="28"/>
          <w:szCs w:val="28"/>
        </w:rPr>
      </w:pPr>
      <w:r>
        <w:rPr>
          <w:rFonts w:hint="eastAsia" w:ascii="黑体" w:hAnsi="黑体" w:eastAsia="黑体"/>
          <w:b/>
          <w:color w:val="auto"/>
          <w:sz w:val="28"/>
          <w:szCs w:val="28"/>
        </w:rPr>
        <w:t>第十条 技术资料</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1.乙方应向甲方提供货物的全部有关技术资料。</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2.没有甲方事先书面同意，乙方不得将由甲方提供的有关合同或任何合同条文、规格、计划、图纸、样品或资料提供给与履行本合同无关的任何其他人。</w:t>
      </w:r>
    </w:p>
    <w:p>
      <w:pPr>
        <w:pStyle w:val="71"/>
        <w:spacing w:beforeLines="50" w:line="360" w:lineRule="auto"/>
        <w:ind w:firstLine="562"/>
        <w:rPr>
          <w:rFonts w:ascii="黑体" w:hAnsi="黑体" w:eastAsia="黑体"/>
          <w:b/>
          <w:color w:val="auto"/>
          <w:sz w:val="28"/>
          <w:szCs w:val="28"/>
        </w:rPr>
      </w:pPr>
      <w:r>
        <w:rPr>
          <w:rFonts w:hint="eastAsia" w:ascii="黑体" w:hAnsi="黑体" w:eastAsia="黑体"/>
          <w:b/>
          <w:color w:val="auto"/>
          <w:sz w:val="28"/>
          <w:szCs w:val="28"/>
        </w:rPr>
        <w:t>第十一条 转包或分包</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1.本合同范围的货物，由乙方直接供应，不得转让他人供应。</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 除非得到甲方的书面同意，乙方不得部分分包给他人供应。</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3.如有转让和未经甲方同意的分包行为，甲方有权给予终止合同。</w:t>
      </w:r>
    </w:p>
    <w:p>
      <w:pPr>
        <w:pStyle w:val="71"/>
        <w:spacing w:beforeLines="50" w:line="360" w:lineRule="auto"/>
        <w:ind w:firstLine="562"/>
        <w:rPr>
          <w:rFonts w:ascii="黑体" w:hAnsi="黑体" w:eastAsia="黑体"/>
          <w:b/>
          <w:color w:val="auto"/>
          <w:sz w:val="28"/>
          <w:szCs w:val="28"/>
        </w:rPr>
      </w:pPr>
      <w:r>
        <w:rPr>
          <w:rFonts w:hint="eastAsia" w:ascii="黑体" w:hAnsi="黑体" w:eastAsia="黑体"/>
          <w:b/>
          <w:color w:val="auto"/>
          <w:sz w:val="28"/>
          <w:szCs w:val="28"/>
        </w:rPr>
        <w:t>第十二条 验收</w:t>
      </w:r>
    </w:p>
    <w:p>
      <w:pPr>
        <w:pStyle w:val="71"/>
        <w:spacing w:line="500" w:lineRule="exact"/>
        <w:ind w:left="141" w:leftChars="67" w:firstLine="420" w:firstLineChars="150"/>
        <w:rPr>
          <w:rFonts w:ascii="仿宋_GB2312" w:hAnsi="宋体" w:eastAsia="仿宋_GB2312"/>
          <w:color w:val="auto"/>
          <w:sz w:val="28"/>
          <w:szCs w:val="28"/>
        </w:rPr>
      </w:pPr>
      <w:r>
        <w:rPr>
          <w:rFonts w:hint="eastAsia" w:ascii="仿宋_GB2312" w:hAnsi="宋体" w:eastAsia="仿宋_GB2312"/>
          <w:color w:val="auto"/>
          <w:sz w:val="28"/>
          <w:szCs w:val="28"/>
        </w:rPr>
        <w:t>1.本项目验收由甲方组织，乙方配合，并按下列程序进行：</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1）交货验收时，乙方须提供质检部门产品抽样检查合格的检测报告（或生产厂家自检报告）及所提供货物（产品）的合格证、装箱清单、配件、随机工具、用户使用手册（产品使用说明书）、保修卡等资料交付给甲方；</w:t>
      </w:r>
    </w:p>
    <w:p>
      <w:pPr>
        <w:pStyle w:val="71"/>
        <w:spacing w:line="500" w:lineRule="exact"/>
        <w:ind w:firstLine="478" w:firstLineChars="171"/>
        <w:rPr>
          <w:rFonts w:ascii="仿宋_GB2312" w:hAnsi="宋体" w:eastAsia="仿宋_GB2312"/>
          <w:color w:val="auto"/>
          <w:sz w:val="28"/>
          <w:szCs w:val="28"/>
        </w:rPr>
      </w:pPr>
      <w:r>
        <w:rPr>
          <w:rFonts w:hint="eastAsia" w:ascii="仿宋_GB2312" w:hAnsi="宋体" w:eastAsia="仿宋_GB2312"/>
          <w:color w:val="auto"/>
          <w:sz w:val="28"/>
          <w:szCs w:val="28"/>
        </w:rPr>
        <w:t>（2）货物初验：乙方应在货物到货之日起，</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日内全部完成安装调试完毕；乙方安装调试完毕后</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日内完成初步验收；初步验收合格后，进入</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日试用期；试用期间发生重大质量问题，修复后试用期相应顺延；</w:t>
      </w:r>
    </w:p>
    <w:p>
      <w:pPr>
        <w:pStyle w:val="71"/>
        <w:spacing w:line="500" w:lineRule="exact"/>
        <w:ind w:left="141" w:leftChars="67" w:firstLine="420" w:firstLineChars="150"/>
        <w:rPr>
          <w:rFonts w:ascii="仿宋_GB2312" w:hAnsi="宋体" w:eastAsia="仿宋_GB2312"/>
          <w:color w:val="auto"/>
          <w:sz w:val="28"/>
          <w:szCs w:val="28"/>
        </w:rPr>
      </w:pPr>
      <w:r>
        <w:rPr>
          <w:rFonts w:hint="eastAsia" w:ascii="仿宋_GB2312" w:hAnsi="宋体" w:eastAsia="仿宋_GB2312"/>
          <w:color w:val="auto"/>
          <w:sz w:val="28"/>
          <w:szCs w:val="28"/>
        </w:rPr>
        <w:t>（3）货物终验：试用期结束后</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日内完成最终验收；</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（4）质量验收合格，双方签署质量验收报告。</w:t>
      </w:r>
    </w:p>
    <w:p>
      <w:pPr>
        <w:pStyle w:val="71"/>
        <w:spacing w:line="500" w:lineRule="exact"/>
        <w:ind w:firstLine="700" w:firstLineChars="250"/>
        <w:rPr>
          <w:rFonts w:ascii="仿宋_GB2312" w:hAnsi="宋体" w:eastAsia="仿宋_GB2312"/>
          <w:color w:val="auto"/>
          <w:sz w:val="28"/>
          <w:szCs w:val="28"/>
        </w:rPr>
      </w:pPr>
      <w:r>
        <w:rPr>
          <w:rFonts w:hint="eastAsia" w:ascii="仿宋_GB2312" w:hAnsi="宋体" w:eastAsia="仿宋_GB2312"/>
          <w:color w:val="auto"/>
          <w:sz w:val="28"/>
          <w:szCs w:val="28"/>
        </w:rPr>
        <w:t>2.货物验收依据：</w:t>
      </w:r>
    </w:p>
    <w:p>
      <w:pPr>
        <w:pStyle w:val="9"/>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（1）招标文件；</w:t>
      </w:r>
    </w:p>
    <w:p>
      <w:pPr>
        <w:pStyle w:val="9"/>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（2）投标文件；</w:t>
      </w:r>
    </w:p>
    <w:p>
      <w:pPr>
        <w:pStyle w:val="9"/>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（3）采购合同及补充协议；</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（4）质检部门抽样检查货物（产品）合格的检测报告。</w:t>
      </w:r>
    </w:p>
    <w:p>
      <w:pPr>
        <w:pStyle w:val="71"/>
        <w:spacing w:line="500" w:lineRule="exact"/>
        <w:ind w:firstLine="700" w:firstLineChars="250"/>
        <w:rPr>
          <w:rFonts w:ascii="仿宋_GB2312" w:hAnsi="宋体" w:eastAsia="仿宋_GB2312"/>
          <w:color w:val="auto"/>
          <w:sz w:val="28"/>
          <w:szCs w:val="28"/>
        </w:rPr>
      </w:pPr>
      <w:r>
        <w:rPr>
          <w:rFonts w:hint="eastAsia" w:ascii="仿宋_GB2312" w:hAnsi="宋体" w:eastAsia="仿宋_GB2312"/>
          <w:color w:val="auto"/>
          <w:sz w:val="28"/>
          <w:szCs w:val="28"/>
        </w:rPr>
        <w:t>3.货物验收时发现问题的处理办法：</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（1）乙方提供不符合招标文件和本合同规定的货物（产品），甲方有权拒绝接受；</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2）如发现所交付的货物有短装、次品、损坏或其它不符合标准及本合同规定之情形者，甲方有权要求更换货物（产品），同时做出详尽的现场记录，或由甲乙双方签署备忘录，此现场记录或备忘录可用作补充、缺失和更换损坏部件或更换整个货物（产品）有效证据，由此产生的时间延误与有关费用由乙方承担，验收期限相应顺延；</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（3）如货物经乙方</w:t>
      </w:r>
      <w:r>
        <w:rPr>
          <w:rFonts w:hint="eastAsia" w:ascii="仿宋_GB2312" w:hAnsi="宋体" w:eastAsia="仿宋_GB2312"/>
          <w:color w:val="auto"/>
          <w:sz w:val="28"/>
          <w:szCs w:val="28"/>
          <w:u w:val="single"/>
        </w:rPr>
        <w:t xml:space="preserve"> 三 </w:t>
      </w:r>
      <w:r>
        <w:rPr>
          <w:rFonts w:hint="eastAsia" w:ascii="仿宋_GB2312" w:hAnsi="宋体" w:eastAsia="仿宋_GB2312"/>
          <w:color w:val="auto"/>
          <w:sz w:val="28"/>
          <w:szCs w:val="28"/>
        </w:rPr>
        <w:t>次维修仍不能达到合同约定的质量标准，甲方有权退货，并视作乙方不能交付货物而须支付违约赔偿金给甲方，甲方还可依法追究乙方的违约责任；</w:t>
      </w:r>
      <w:r>
        <w:rPr>
          <w:rFonts w:hint="eastAsia" w:ascii="宋体" w:hAnsi="宋体" w:eastAsia="仿宋_GB2312"/>
          <w:color w:val="auto"/>
          <w:sz w:val="28"/>
          <w:szCs w:val="28"/>
        </w:rPr>
        <w:t> </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（4）货物安装完成后</w:t>
      </w:r>
      <w:r>
        <w:rPr>
          <w:rFonts w:hint="eastAsia" w:ascii="仿宋_GB2312" w:hAnsi="宋体" w:eastAsia="仿宋_GB2312"/>
          <w:color w:val="auto"/>
          <w:sz w:val="28"/>
          <w:szCs w:val="28"/>
          <w:u w:val="single"/>
        </w:rPr>
        <w:t xml:space="preserve"> 90 </w:t>
      </w:r>
      <w:r>
        <w:rPr>
          <w:rFonts w:hint="eastAsia" w:ascii="仿宋_GB2312" w:hAnsi="宋体" w:eastAsia="仿宋_GB2312"/>
          <w:color w:val="auto"/>
          <w:sz w:val="28"/>
          <w:szCs w:val="28"/>
        </w:rPr>
        <w:t>日内，甲方无故不进行验收工作并已使用货物的，视同已安装调试完成并验收合格；</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（5）乙方不能完整交付货物及本条第一款规定的单证和工具的，必须负责补齐，否则视为未按合同约定交货。</w:t>
      </w:r>
    </w:p>
    <w:p>
      <w:pPr>
        <w:pStyle w:val="71"/>
        <w:spacing w:beforeLines="50" w:line="360" w:lineRule="auto"/>
        <w:ind w:firstLine="562"/>
        <w:rPr>
          <w:rFonts w:ascii="黑体" w:hAnsi="黑体" w:eastAsia="黑体"/>
          <w:b/>
          <w:color w:val="auto"/>
          <w:sz w:val="28"/>
          <w:szCs w:val="28"/>
        </w:rPr>
      </w:pPr>
      <w:r>
        <w:rPr>
          <w:rFonts w:hint="eastAsia" w:ascii="黑体" w:hAnsi="黑体" w:eastAsia="黑体"/>
          <w:b/>
          <w:color w:val="auto"/>
          <w:sz w:val="28"/>
          <w:szCs w:val="28"/>
        </w:rPr>
        <w:t>第十三条 售后服务</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1.乙方应按照国家有关法律法规和“三包”规定以及招标文件要求和投标文件的“售后服务方案”提供售后服务。</w:t>
      </w:r>
    </w:p>
    <w:p>
      <w:pPr>
        <w:pStyle w:val="2"/>
        <w:spacing w:after="0"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为甲方提供免费上门维护、升级服务，如设备出现故障，乙方应在接到电话后，立即响应，8小时以内到现场处理，12小时内修复，现场不能修复的，必须采取无偿提供同等标准货物的备用件或整机等措施，以保证甲方的正常使用。</w:t>
      </w:r>
    </w:p>
    <w:p>
      <w:pPr>
        <w:pStyle w:val="71"/>
        <w:spacing w:beforeLines="50" w:line="360" w:lineRule="auto"/>
        <w:ind w:firstLine="562"/>
        <w:rPr>
          <w:rFonts w:ascii="黑体" w:hAnsi="黑体" w:eastAsia="黑体"/>
          <w:b/>
          <w:color w:val="auto"/>
          <w:sz w:val="28"/>
          <w:szCs w:val="28"/>
        </w:rPr>
      </w:pPr>
      <w:r>
        <w:rPr>
          <w:rFonts w:hint="eastAsia" w:ascii="黑体" w:hAnsi="黑体" w:eastAsia="黑体"/>
          <w:b/>
          <w:color w:val="auto"/>
          <w:sz w:val="28"/>
          <w:szCs w:val="28"/>
        </w:rPr>
        <w:t>第十四条 履约保证金</w:t>
      </w:r>
    </w:p>
    <w:p>
      <w:pPr>
        <w:pStyle w:val="2"/>
        <w:spacing w:after="0" w:line="500" w:lineRule="exact"/>
        <w:ind w:firstLine="420" w:firstLineChars="200"/>
        <w:rPr>
          <w:color w:val="auto"/>
        </w:rPr>
      </w:pPr>
      <w:r>
        <w:rPr>
          <w:rFonts w:hint="eastAsia"/>
          <w:color w:val="auto"/>
        </w:rPr>
        <w:t xml:space="preserve">  </w:t>
      </w:r>
      <w:r>
        <w:rPr>
          <w:rFonts w:hint="eastAsia" w:ascii="仿宋_GB2312" w:eastAsia="仿宋_GB2312"/>
          <w:color w:val="auto"/>
          <w:sz w:val="28"/>
          <w:szCs w:val="28"/>
        </w:rPr>
        <w:t>无</w:t>
      </w:r>
    </w:p>
    <w:p>
      <w:pPr>
        <w:pStyle w:val="71"/>
        <w:spacing w:beforeLines="50" w:line="360" w:lineRule="auto"/>
        <w:ind w:firstLine="562"/>
        <w:rPr>
          <w:rFonts w:ascii="黑体" w:hAnsi="黑体" w:eastAsia="黑体"/>
          <w:b/>
          <w:color w:val="auto"/>
          <w:sz w:val="28"/>
          <w:szCs w:val="28"/>
        </w:rPr>
      </w:pPr>
      <w:r>
        <w:rPr>
          <w:rFonts w:hint="eastAsia" w:ascii="黑体" w:hAnsi="黑体" w:eastAsia="黑体"/>
          <w:b/>
          <w:color w:val="auto"/>
          <w:sz w:val="28"/>
          <w:szCs w:val="28"/>
        </w:rPr>
        <w:t>第十五条 违约责任</w:t>
      </w:r>
    </w:p>
    <w:p>
      <w:pPr>
        <w:pStyle w:val="71"/>
        <w:spacing w:line="500" w:lineRule="exact"/>
        <w:ind w:firstLine="700" w:firstLineChars="250"/>
        <w:rPr>
          <w:rFonts w:ascii="仿宋_GB2312" w:hAnsi="宋体" w:eastAsia="仿宋_GB2312"/>
          <w:color w:val="auto"/>
          <w:sz w:val="28"/>
          <w:szCs w:val="28"/>
        </w:rPr>
      </w:pPr>
      <w:r>
        <w:rPr>
          <w:rFonts w:hint="eastAsia" w:ascii="仿宋_GB2312" w:hAnsi="宋体" w:eastAsia="仿宋_GB2312"/>
          <w:color w:val="auto"/>
          <w:sz w:val="28"/>
          <w:szCs w:val="28"/>
        </w:rPr>
        <w:t>1.甲方违约责任</w:t>
      </w:r>
    </w:p>
    <w:p>
      <w:pPr>
        <w:pStyle w:val="71"/>
        <w:spacing w:line="500" w:lineRule="exact"/>
        <w:ind w:firstLine="478" w:firstLineChars="171"/>
        <w:rPr>
          <w:rFonts w:ascii="仿宋_GB2312" w:hAnsi="宋体" w:eastAsia="仿宋_GB2312"/>
          <w:color w:val="auto"/>
          <w:sz w:val="28"/>
          <w:szCs w:val="28"/>
        </w:rPr>
      </w:pPr>
      <w:r>
        <w:rPr>
          <w:rFonts w:hint="eastAsia" w:ascii="仿宋_GB2312" w:hAnsi="宋体" w:eastAsia="仿宋_GB2312"/>
          <w:color w:val="auto"/>
          <w:sz w:val="28"/>
          <w:szCs w:val="28"/>
        </w:rPr>
        <w:t>（1）甲方无正当理由拒绝验收的，甲方应偿付合同总价</w:t>
      </w:r>
      <w:r>
        <w:rPr>
          <w:rFonts w:hint="eastAsia" w:ascii="仿宋_GB2312" w:hAnsi="宋体" w:eastAsia="仿宋_GB2312"/>
          <w:color w:val="auto"/>
          <w:sz w:val="28"/>
          <w:szCs w:val="28"/>
          <w:u w:val="single"/>
        </w:rPr>
        <w:t xml:space="preserve"> 2 </w:t>
      </w:r>
      <w:r>
        <w:rPr>
          <w:rFonts w:hint="eastAsia" w:ascii="仿宋_GB2312" w:hAnsi="宋体" w:eastAsia="仿宋_GB2312"/>
          <w:color w:val="auto"/>
          <w:sz w:val="28"/>
          <w:szCs w:val="28"/>
        </w:rPr>
        <w:t xml:space="preserve"> %的违约金；</w:t>
      </w:r>
    </w:p>
    <w:p>
      <w:pPr>
        <w:pStyle w:val="71"/>
        <w:spacing w:line="500" w:lineRule="exact"/>
        <w:ind w:firstLine="478" w:firstLineChars="171"/>
        <w:rPr>
          <w:rFonts w:ascii="仿宋_GB2312" w:hAnsi="宋体" w:eastAsia="仿宋_GB2312"/>
          <w:color w:val="auto"/>
          <w:sz w:val="28"/>
          <w:szCs w:val="28"/>
        </w:rPr>
      </w:pPr>
      <w:r>
        <w:rPr>
          <w:rFonts w:hint="eastAsia" w:ascii="仿宋_GB2312" w:hAnsi="宋体" w:eastAsia="仿宋_GB2312"/>
          <w:color w:val="auto"/>
          <w:sz w:val="28"/>
          <w:szCs w:val="28"/>
        </w:rPr>
        <w:t>（2）甲方逾期支付货款的，除应及时付足货款外，应向乙方每天支付欠款总额</w:t>
      </w:r>
      <w:r>
        <w:rPr>
          <w:rFonts w:hint="eastAsia" w:ascii="仿宋_GB2312" w:hAnsi="宋体" w:eastAsia="仿宋_GB2312"/>
          <w:color w:val="auto"/>
          <w:sz w:val="28"/>
          <w:szCs w:val="28"/>
          <w:u w:val="single"/>
        </w:rPr>
        <w:t xml:space="preserve"> 0.5 </w:t>
      </w:r>
      <w:r>
        <w:rPr>
          <w:rFonts w:hint="eastAsia" w:ascii="仿宋_GB2312" w:hAnsi="宋体" w:eastAsia="仿宋_GB2312"/>
          <w:color w:val="auto"/>
          <w:sz w:val="28"/>
          <w:szCs w:val="28"/>
        </w:rPr>
        <w:t>‰的滞纳金；但累计滞纳金总额不超过欠款总额的</w:t>
      </w:r>
      <w:r>
        <w:rPr>
          <w:rFonts w:hint="eastAsia" w:ascii="仿宋_GB2312" w:hAnsi="宋体" w:eastAsia="仿宋_GB2312"/>
          <w:color w:val="auto"/>
          <w:sz w:val="28"/>
          <w:szCs w:val="28"/>
          <w:u w:val="single"/>
        </w:rPr>
        <w:t xml:space="preserve"> 3 </w:t>
      </w:r>
      <w:r>
        <w:rPr>
          <w:rFonts w:hint="eastAsia" w:ascii="仿宋_GB2312" w:hAnsi="宋体" w:eastAsia="仿宋_GB2312"/>
          <w:color w:val="auto"/>
          <w:sz w:val="28"/>
          <w:szCs w:val="28"/>
        </w:rPr>
        <w:t>%。</w:t>
      </w:r>
    </w:p>
    <w:p>
      <w:pPr>
        <w:pStyle w:val="71"/>
        <w:spacing w:line="500" w:lineRule="exact"/>
        <w:ind w:firstLine="700" w:firstLineChars="250"/>
        <w:rPr>
          <w:rFonts w:ascii="仿宋_GB2312" w:hAnsi="宋体" w:eastAsia="仿宋_GB2312"/>
          <w:color w:val="auto"/>
          <w:sz w:val="28"/>
          <w:szCs w:val="28"/>
        </w:rPr>
      </w:pPr>
      <w:r>
        <w:rPr>
          <w:rFonts w:hint="eastAsia" w:ascii="仿宋_GB2312" w:hAnsi="宋体" w:eastAsia="仿宋_GB2312"/>
          <w:color w:val="auto"/>
          <w:sz w:val="28"/>
          <w:szCs w:val="28"/>
        </w:rPr>
        <w:t>2.乙方违约责任</w:t>
      </w:r>
    </w:p>
    <w:p>
      <w:pPr>
        <w:widowControl/>
        <w:spacing w:line="500" w:lineRule="exact"/>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（1）如乙方不能按时交付本合同标的，乙方应向甲方支付合同总价</w:t>
      </w:r>
      <w:r>
        <w:rPr>
          <w:rFonts w:hint="eastAsia" w:ascii="仿宋_GB2312" w:hAnsi="宋体" w:eastAsia="仿宋_GB2312" w:cs="宋体"/>
          <w:color w:val="auto"/>
          <w:kern w:val="0"/>
          <w:sz w:val="28"/>
          <w:szCs w:val="28"/>
          <w:u w:val="single"/>
        </w:rPr>
        <w:t xml:space="preserve"> 10 </w:t>
      </w:r>
      <w:r>
        <w:rPr>
          <w:rFonts w:hint="eastAsia" w:ascii="仿宋_GB2312" w:hAnsi="宋体" w:eastAsia="仿宋_GB2312" w:cs="宋体"/>
          <w:color w:val="auto"/>
          <w:kern w:val="0"/>
          <w:sz w:val="28"/>
          <w:szCs w:val="28"/>
        </w:rPr>
        <w:t>％的违约金；</w:t>
      </w:r>
    </w:p>
    <w:p>
      <w:pPr>
        <w:widowControl/>
        <w:spacing w:line="500" w:lineRule="exact"/>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（2）乙方逾期交付货物的，每逾期1天，乙方向甲方偿付逾期交货部分货款总额的</w:t>
      </w:r>
      <w:r>
        <w:rPr>
          <w:rFonts w:hint="eastAsia" w:ascii="仿宋_GB2312" w:hAnsi="宋体" w:eastAsia="仿宋_GB2312" w:cs="宋体"/>
          <w:color w:val="auto"/>
          <w:kern w:val="0"/>
          <w:sz w:val="28"/>
          <w:szCs w:val="28"/>
          <w:u w:val="single"/>
        </w:rPr>
        <w:t xml:space="preserve"> 1.0 </w:t>
      </w:r>
      <w:r>
        <w:rPr>
          <w:rFonts w:hint="eastAsia" w:ascii="仿宋_GB2312" w:hAnsi="宋体" w:eastAsia="仿宋_GB2312" w:cs="宋体"/>
          <w:color w:val="auto"/>
          <w:kern w:val="0"/>
          <w:sz w:val="28"/>
          <w:szCs w:val="28"/>
        </w:rPr>
        <w:t>‰的滞纳金。如乙方逾期交货达</w:t>
      </w:r>
      <w:r>
        <w:rPr>
          <w:rFonts w:hint="eastAsia" w:ascii="仿宋_GB2312" w:hAnsi="宋体" w:eastAsia="仿宋_GB2312" w:cs="宋体"/>
          <w:color w:val="auto"/>
          <w:kern w:val="0"/>
          <w:sz w:val="28"/>
          <w:szCs w:val="28"/>
          <w:u w:val="single"/>
        </w:rPr>
        <w:t xml:space="preserve"> 30 </w:t>
      </w:r>
      <w:r>
        <w:rPr>
          <w:rFonts w:hint="eastAsia" w:ascii="仿宋_GB2312" w:hAnsi="宋体" w:eastAsia="仿宋_GB2312" w:cs="宋体"/>
          <w:color w:val="auto"/>
          <w:kern w:val="0"/>
          <w:sz w:val="28"/>
          <w:szCs w:val="28"/>
        </w:rPr>
        <w:t>天，甲方有权解除合同，解除合同的通知自到达乙方时生效；</w:t>
      </w:r>
    </w:p>
    <w:p>
      <w:pPr>
        <w:widowControl/>
        <w:spacing w:line="500" w:lineRule="exact"/>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（3）乙方所交付的货物品种、型号、规格不符合合同规定的，甲方有权拒收。甲方拒收的，乙方应向甲方支付货款总额</w:t>
      </w:r>
      <w:r>
        <w:rPr>
          <w:rFonts w:hint="eastAsia" w:ascii="仿宋_GB2312" w:hAnsi="宋体" w:eastAsia="仿宋_GB2312" w:cs="宋体"/>
          <w:color w:val="auto"/>
          <w:kern w:val="0"/>
          <w:sz w:val="28"/>
          <w:szCs w:val="28"/>
          <w:u w:val="single"/>
        </w:rPr>
        <w:t xml:space="preserve">  5.0  </w:t>
      </w:r>
      <w:r>
        <w:rPr>
          <w:rFonts w:hint="eastAsia" w:ascii="仿宋_GB2312" w:hAnsi="宋体" w:eastAsia="仿宋_GB2312" w:cs="宋体"/>
          <w:color w:val="auto"/>
          <w:kern w:val="0"/>
          <w:sz w:val="28"/>
          <w:szCs w:val="28"/>
        </w:rPr>
        <w:t>%的违约金；</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（4）乙方货物经甲方送交具有法定资格条件的质量技术监督机构检测后，如检测结果认定货物质量不符合本合同规定标准的，则视为乙方没有按时交货而违约，乙方须在</w:t>
      </w:r>
      <w:r>
        <w:rPr>
          <w:rFonts w:hint="eastAsia" w:ascii="仿宋_GB2312" w:hAnsi="宋体" w:eastAsia="仿宋_GB2312"/>
          <w:color w:val="auto"/>
          <w:sz w:val="28"/>
          <w:szCs w:val="28"/>
          <w:u w:val="single"/>
        </w:rPr>
        <w:t xml:space="preserve"> 15  </w:t>
      </w:r>
      <w:r>
        <w:rPr>
          <w:rFonts w:hint="eastAsia" w:ascii="仿宋_GB2312" w:hAnsi="宋体" w:eastAsia="仿宋_GB2312"/>
          <w:color w:val="auto"/>
          <w:sz w:val="28"/>
          <w:szCs w:val="28"/>
        </w:rPr>
        <w:t>日历天内无条件更换合格的货物，如逾期不能更换合格的货物，甲方有权单方终止本合同，乙方应另向甲方支付货款总额的</w:t>
      </w:r>
      <w:r>
        <w:rPr>
          <w:rFonts w:hint="eastAsia" w:ascii="仿宋_GB2312" w:hAnsi="宋体" w:eastAsia="仿宋_GB2312"/>
          <w:color w:val="auto"/>
          <w:sz w:val="28"/>
          <w:szCs w:val="28"/>
          <w:u w:val="single"/>
        </w:rPr>
        <w:t xml:space="preserve"> 10 </w:t>
      </w:r>
      <w:r>
        <w:rPr>
          <w:rFonts w:hint="eastAsia" w:ascii="仿宋_GB2312" w:hAnsi="宋体" w:eastAsia="仿宋_GB2312"/>
          <w:color w:val="auto"/>
          <w:sz w:val="28"/>
          <w:szCs w:val="28"/>
        </w:rPr>
        <w:t>%的违约金；</w:t>
      </w:r>
    </w:p>
    <w:p>
      <w:pPr>
        <w:pStyle w:val="71"/>
        <w:spacing w:line="500" w:lineRule="exact"/>
        <w:ind w:firstLine="560"/>
        <w:rPr>
          <w:rFonts w:ascii="仿宋_GB2312" w:hAnsi="宋体" w:eastAsia="仿宋_GB2312"/>
          <w:color w:val="auto"/>
          <w:kern w:val="0"/>
          <w:sz w:val="28"/>
          <w:szCs w:val="28"/>
        </w:rPr>
      </w:pPr>
      <w:r>
        <w:rPr>
          <w:rFonts w:hint="eastAsia" w:ascii="仿宋_GB2312" w:hAnsi="宋体" w:eastAsia="仿宋_GB2312"/>
          <w:color w:val="auto"/>
          <w:kern w:val="0"/>
          <w:sz w:val="28"/>
          <w:szCs w:val="28"/>
        </w:rPr>
        <w:t>（5）在本合同约定的的质保期内，如经乙方三次维修或更换，货物仍不能达到合同约定的质量标准，甲方有权退货，乙方应退回全部货款，同时，乙方还须赔偿甲方因此遭受的损失；</w:t>
      </w:r>
    </w:p>
    <w:p>
      <w:pPr>
        <w:pStyle w:val="71"/>
        <w:spacing w:line="500" w:lineRule="exact"/>
        <w:ind w:firstLine="560"/>
        <w:rPr>
          <w:rFonts w:ascii="仿宋_GB2312" w:hAnsi="宋体" w:eastAsia="仿宋_GB2312"/>
          <w:color w:val="auto"/>
          <w:kern w:val="0"/>
          <w:sz w:val="28"/>
          <w:szCs w:val="28"/>
        </w:rPr>
      </w:pPr>
      <w:r>
        <w:rPr>
          <w:rFonts w:hint="eastAsia" w:ascii="仿宋_GB2312" w:hAnsi="宋体" w:eastAsia="仿宋_GB2312"/>
          <w:color w:val="auto"/>
          <w:kern w:val="0"/>
          <w:sz w:val="28"/>
          <w:szCs w:val="28"/>
        </w:rPr>
        <w:t>（6）乙方未按本合同约定和其所提交的“售后服务方案”提供伴随服务、售后服务、技术支持的，应按合同总价款的</w:t>
      </w:r>
      <w:r>
        <w:rPr>
          <w:rFonts w:hint="eastAsia" w:ascii="仿宋_GB2312" w:hAnsi="宋体" w:eastAsia="仿宋_GB2312"/>
          <w:color w:val="auto"/>
          <w:kern w:val="0"/>
          <w:sz w:val="28"/>
          <w:szCs w:val="28"/>
          <w:u w:val="single"/>
        </w:rPr>
        <w:t xml:space="preserve"> 5 </w:t>
      </w:r>
      <w:r>
        <w:rPr>
          <w:rFonts w:hint="eastAsia" w:ascii="仿宋_GB2312" w:hAnsi="宋体" w:eastAsia="仿宋_GB2312"/>
          <w:color w:val="auto"/>
          <w:kern w:val="0"/>
          <w:sz w:val="28"/>
          <w:szCs w:val="28"/>
        </w:rPr>
        <w:t>%向甲方承担违约责任；</w:t>
      </w:r>
    </w:p>
    <w:p>
      <w:pPr>
        <w:pStyle w:val="71"/>
        <w:spacing w:line="500" w:lineRule="exact"/>
        <w:ind w:firstLine="560"/>
        <w:rPr>
          <w:rFonts w:ascii="仿宋_GB2312" w:hAnsi="宋体" w:eastAsia="仿宋_GB2312"/>
          <w:color w:val="auto"/>
          <w:kern w:val="0"/>
          <w:sz w:val="28"/>
          <w:szCs w:val="28"/>
        </w:rPr>
      </w:pPr>
      <w:r>
        <w:rPr>
          <w:rFonts w:hint="eastAsia" w:ascii="仿宋_GB2312" w:hAnsi="宋体" w:eastAsia="仿宋_GB2312"/>
          <w:color w:val="auto"/>
          <w:kern w:val="0"/>
          <w:sz w:val="28"/>
          <w:szCs w:val="28"/>
        </w:rPr>
        <w:t>（7）乙方在承担上述1-6款一项或多项违约责任后，仍应继续履行合同规定的义务（甲方解除合同的除外）。甲方未能及时追究乙方的任何一项违约责任并不表明甲方放弃追究乙方该项或其他违约责任；</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（8）乙方偿付的违约金不足以弥补甲方损失的，还应按甲方损失尚未弥补的部分，支付赔偿金给甲方。</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3. 本合同双方约定，任何一方违背本合同约定，违约方除承担违约责任承担本合同约定的相应违约金外、还应赔偿对方由此而造成的损失（包含但不限于项目本身损失费、律师费、诉讼费、保全费、鉴定费、差旅费等）。</w:t>
      </w:r>
    </w:p>
    <w:p>
      <w:pPr>
        <w:pStyle w:val="71"/>
        <w:spacing w:beforeLines="50" w:line="360" w:lineRule="auto"/>
        <w:ind w:firstLine="562"/>
        <w:rPr>
          <w:rFonts w:ascii="黑体" w:hAnsi="黑体" w:eastAsia="黑体"/>
          <w:b/>
          <w:color w:val="auto"/>
          <w:sz w:val="28"/>
          <w:szCs w:val="28"/>
        </w:rPr>
      </w:pPr>
      <w:r>
        <w:rPr>
          <w:rFonts w:hint="eastAsia" w:ascii="黑体" w:hAnsi="黑体" w:eastAsia="黑体"/>
          <w:b/>
          <w:color w:val="auto"/>
          <w:sz w:val="28"/>
          <w:szCs w:val="28"/>
        </w:rPr>
        <w:t>第十六条 不可抗力事件处理</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1.因不可抗力造成违约的，遭受不可抗力一方应及时向对方通报不能履行或不能完全履行的理由，并在随后取得有关权威机构出具的证明后的15日内向另一方提供不可抗力发生以及持续期间的充分证据。基本于以上行为，允许遭受不可抗力一方延期履行、部分履行或者不履行合同，并根据情况可部分或全部免于承担违约责任。</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2.本合同中的不可抗力指不能预见、不能避免并不能克服的客观情况。包括但不限于：自然灾害如地震、台风、洪水、火灾；政府行为、法律规定或其适用的变化或者其他任何无法预见、避免或者控制的事件。</w:t>
      </w:r>
    </w:p>
    <w:p>
      <w:pPr>
        <w:pStyle w:val="71"/>
        <w:spacing w:beforeLines="50" w:line="360" w:lineRule="auto"/>
        <w:ind w:firstLine="562"/>
        <w:rPr>
          <w:rFonts w:ascii="黑体" w:hAnsi="黑体" w:eastAsia="黑体"/>
          <w:b/>
          <w:color w:val="auto"/>
          <w:sz w:val="28"/>
          <w:szCs w:val="28"/>
        </w:rPr>
      </w:pPr>
      <w:r>
        <w:rPr>
          <w:rFonts w:hint="eastAsia" w:ascii="黑体" w:hAnsi="黑体" w:eastAsia="黑体"/>
          <w:b/>
          <w:color w:val="auto"/>
          <w:sz w:val="28"/>
          <w:szCs w:val="28"/>
        </w:rPr>
        <w:t>第十七条 合同的变更、中止或终止、转让</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1.除《中华人民共和国政府采购法》第49条、第50条第二款规定的情形外，本合同一经签订，甲乙双方不得擅自变更、中止或终止合同。</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2.乙方不得擅自部分或全部转让其应履行的合同义务。</w:t>
      </w:r>
    </w:p>
    <w:p>
      <w:pPr>
        <w:pStyle w:val="71"/>
        <w:spacing w:beforeLines="50" w:line="360" w:lineRule="auto"/>
        <w:ind w:firstLine="562"/>
        <w:rPr>
          <w:rFonts w:ascii="黑体" w:hAnsi="黑体" w:eastAsia="黑体"/>
          <w:b/>
          <w:color w:val="auto"/>
          <w:sz w:val="28"/>
          <w:szCs w:val="28"/>
        </w:rPr>
      </w:pPr>
      <w:r>
        <w:rPr>
          <w:rFonts w:hint="eastAsia" w:ascii="黑体" w:hAnsi="黑体" w:eastAsia="黑体"/>
          <w:b/>
          <w:color w:val="auto"/>
          <w:sz w:val="28"/>
          <w:szCs w:val="28"/>
        </w:rPr>
        <w:t>第十八条 违约解除合同</w:t>
      </w:r>
    </w:p>
    <w:p>
      <w:pPr>
        <w:pStyle w:val="71"/>
        <w:spacing w:line="500" w:lineRule="exact"/>
        <w:ind w:firstLine="480"/>
        <w:rPr>
          <w:rFonts w:ascii="仿宋_GB2312" w:hAnsi="宋体" w:eastAsia="仿宋_GB2312"/>
          <w:color w:val="auto"/>
          <w:sz w:val="28"/>
          <w:szCs w:val="28"/>
        </w:rPr>
      </w:pPr>
      <w:r>
        <w:rPr>
          <w:rFonts w:hint="eastAsia" w:ascii="仿宋_GB2312" w:hAnsi="宋体" w:eastAsia="仿宋_GB2312"/>
          <w:color w:val="auto"/>
        </w:rPr>
        <w:t xml:space="preserve"> </w:t>
      </w:r>
      <w:r>
        <w:rPr>
          <w:rFonts w:hint="eastAsia" w:ascii="仿宋_GB2312" w:hAnsi="宋体" w:eastAsia="仿宋_GB2312"/>
          <w:color w:val="auto"/>
          <w:sz w:val="28"/>
          <w:szCs w:val="28"/>
        </w:rPr>
        <w:t>1.在乙方违约的情况下，甲方可向乙方发出书面通知，部分或全部终止合同，同时保留向对方追诉的权利。</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（1）乙方未能在合同规定的限期或甲方同意延长的限期内提供全部或部分货物，按本合同约定可以解除合同的。</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（2）乙方有转让和未经甲方同意的分包行为，按本合同约定可以解除合同的。</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（3）乙方未能履行合同规定的其它主要义务的。</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（4）在本合同履行过程中有腐败和欺诈行为的。</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2.在甲方根据上述约定，全部或部分解除合同之后，应当遵循诚实信用原则，全部或部分购买与未交付的货物类似的货物或服务，乙方应承担甲方购买类似货物或服务而产生的额外支出。部分解除合同的，乙方应继续履行合同中未解除的部分。</w:t>
      </w:r>
    </w:p>
    <w:p>
      <w:pPr>
        <w:pStyle w:val="71"/>
        <w:spacing w:beforeLines="50" w:line="360" w:lineRule="auto"/>
        <w:ind w:firstLine="562"/>
        <w:rPr>
          <w:rFonts w:ascii="黑体" w:hAnsi="黑体" w:eastAsia="黑体"/>
          <w:b/>
          <w:color w:val="auto"/>
          <w:sz w:val="28"/>
          <w:szCs w:val="28"/>
        </w:rPr>
      </w:pPr>
      <w:r>
        <w:rPr>
          <w:rFonts w:hint="eastAsia" w:ascii="黑体" w:hAnsi="黑体" w:eastAsia="黑体"/>
          <w:b/>
          <w:color w:val="auto"/>
          <w:sz w:val="28"/>
          <w:szCs w:val="28"/>
        </w:rPr>
        <w:t>第十九条 争议的解决</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1.因合同标的质量问题发生争议，由质量技术监督部门或其指定的质量鉴定机构进行质量鉴定。合同标的符合标准的，鉴定费由甲方承担；合同标的不符合质量标准的，鉴定费由乙方承担。</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2.因履行本合同引起的或与本合同有关的争议，甲、乙双方应首先通过友好协商解决，如果协商不成，则采取以下第</w:t>
      </w:r>
      <w:r>
        <w:rPr>
          <w:rFonts w:hint="eastAsia" w:ascii="仿宋_GB2312" w:hAnsi="宋体" w:eastAsia="仿宋_GB2312"/>
          <w:color w:val="auto"/>
          <w:sz w:val="28"/>
          <w:szCs w:val="28"/>
          <w:u w:val="single"/>
        </w:rPr>
        <w:t xml:space="preserve">  （2）   </w:t>
      </w:r>
      <w:r>
        <w:rPr>
          <w:rFonts w:hint="eastAsia" w:ascii="仿宋_GB2312" w:hAnsi="宋体" w:eastAsia="仿宋_GB2312"/>
          <w:color w:val="auto"/>
          <w:sz w:val="28"/>
          <w:szCs w:val="28"/>
        </w:rPr>
        <w:t>种方式解决争议：</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（1）向甲方所在地有管辖权的人民法院提起诉讼；</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（2）向</w:t>
      </w:r>
      <w:r>
        <w:rPr>
          <w:rFonts w:hint="eastAsia" w:ascii="仿宋_GB2312" w:hAnsi="宋体" w:eastAsia="仿宋_GB2312"/>
          <w:color w:val="auto"/>
          <w:sz w:val="28"/>
          <w:szCs w:val="28"/>
          <w:u w:val="single"/>
        </w:rPr>
        <w:t xml:space="preserve">  西安  </w:t>
      </w:r>
      <w:r>
        <w:rPr>
          <w:rFonts w:hint="eastAsia" w:ascii="仿宋_GB2312" w:hAnsi="宋体" w:eastAsia="仿宋_GB2312"/>
          <w:color w:val="auto"/>
          <w:sz w:val="28"/>
          <w:szCs w:val="28"/>
        </w:rPr>
        <w:t>仲裁委员会按其仲裁规则申请仲裁。</w:t>
      </w:r>
    </w:p>
    <w:p>
      <w:pPr>
        <w:pStyle w:val="71"/>
        <w:spacing w:line="500" w:lineRule="exact"/>
        <w:ind w:firstLine="560"/>
        <w:rPr>
          <w:rFonts w:ascii="仿宋_GB2312" w:hAnsi="宋体" w:eastAsia="仿宋_GB2312"/>
          <w:color w:val="auto"/>
          <w:sz w:val="28"/>
          <w:szCs w:val="28"/>
        </w:rPr>
      </w:pPr>
      <w:r>
        <w:rPr>
          <w:rFonts w:hint="eastAsia" w:ascii="仿宋_GB2312" w:hAnsi="宋体" w:eastAsia="仿宋_GB2312"/>
          <w:color w:val="auto"/>
          <w:sz w:val="28"/>
          <w:szCs w:val="28"/>
        </w:rPr>
        <w:t>3.在仲裁期间，本合同应继续履行。</w:t>
      </w:r>
    </w:p>
    <w:p>
      <w:pPr>
        <w:pStyle w:val="71"/>
        <w:spacing w:beforeLines="50" w:line="360" w:lineRule="auto"/>
        <w:ind w:firstLine="562"/>
        <w:rPr>
          <w:rFonts w:ascii="黑体" w:hAnsi="黑体" w:eastAsia="黑体"/>
          <w:b/>
          <w:color w:val="auto"/>
          <w:sz w:val="28"/>
          <w:szCs w:val="28"/>
        </w:rPr>
      </w:pPr>
      <w:r>
        <w:rPr>
          <w:rFonts w:hint="eastAsia" w:ascii="黑体" w:hAnsi="黑体" w:eastAsia="黑体"/>
          <w:b/>
          <w:color w:val="auto"/>
          <w:sz w:val="28"/>
          <w:szCs w:val="28"/>
        </w:rPr>
        <w:t>第二十条 合同生效及其他</w:t>
      </w:r>
    </w:p>
    <w:p>
      <w:pPr>
        <w:snapToGrid w:val="0"/>
        <w:spacing w:line="500" w:lineRule="exact"/>
        <w:ind w:firstLine="539"/>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原教室灯具处理：本合同包含原教室灯、黑板灯及配套设施的拆除。拆除的灯具及配套设施交甲方处理，区分能继续正常使用的光源和不能正常使用的光源交甲方留存，不能正常使用的光源，由甲方负责进行处理。</w:t>
      </w:r>
    </w:p>
    <w:p>
      <w:pPr>
        <w:snapToGrid w:val="0"/>
        <w:spacing w:line="500" w:lineRule="exact"/>
        <w:ind w:firstLine="539"/>
        <w:rPr>
          <w:rFonts w:ascii="仿宋_GB2312" w:hAnsi="宋体" w:eastAsia="仿宋_GB2312"/>
          <w:color w:val="auto"/>
          <w:sz w:val="28"/>
          <w:szCs w:val="28"/>
        </w:rPr>
      </w:pPr>
      <w:r>
        <w:rPr>
          <w:rFonts w:hint="eastAsia" w:ascii="仿宋_GB2312" w:hAnsi="宋体" w:eastAsia="仿宋_GB2312" w:cs="宋体"/>
          <w:color w:val="auto"/>
          <w:kern w:val="0"/>
          <w:sz w:val="28"/>
          <w:szCs w:val="28"/>
        </w:rPr>
        <w:t>2.本合同</w:t>
      </w:r>
      <w:r>
        <w:rPr>
          <w:rFonts w:hint="eastAsia" w:ascii="仿宋_GB2312" w:hAnsi="宋体" w:eastAsia="仿宋_GB2312"/>
          <w:color w:val="auto"/>
          <w:sz w:val="28"/>
          <w:szCs w:val="28"/>
        </w:rPr>
        <w:t>未尽事宜，由双方依法订立补充合同。</w:t>
      </w:r>
    </w:p>
    <w:p>
      <w:pPr>
        <w:snapToGrid w:val="0"/>
        <w:spacing w:line="500" w:lineRule="exact"/>
        <w:ind w:firstLine="539"/>
        <w:rPr>
          <w:rFonts w:ascii="仿宋_GB2312" w:hAnsi="宋体" w:eastAsia="仿宋_GB2312"/>
          <w:color w:val="auto"/>
          <w:kern w:val="0"/>
          <w:sz w:val="28"/>
          <w:szCs w:val="28"/>
        </w:rPr>
      </w:pPr>
      <w:r>
        <w:rPr>
          <w:rFonts w:hint="eastAsia" w:ascii="仿宋_GB2312" w:hAnsi="宋体" w:eastAsia="仿宋_GB2312"/>
          <w:color w:val="auto"/>
          <w:kern w:val="0"/>
          <w:sz w:val="28"/>
          <w:szCs w:val="28"/>
        </w:rPr>
        <w:t>3.本合同自签订之日起生效。</w:t>
      </w:r>
    </w:p>
    <w:p>
      <w:pPr>
        <w:pStyle w:val="71"/>
        <w:spacing w:line="500" w:lineRule="exact"/>
        <w:ind w:firstLine="560"/>
        <w:rPr>
          <w:rFonts w:ascii="仿宋_GB2312" w:hAnsi="黑体" w:eastAsia="仿宋_GB2312"/>
          <w:b/>
          <w:color w:val="auto"/>
          <w:sz w:val="28"/>
          <w:szCs w:val="28"/>
        </w:rPr>
      </w:pPr>
      <w:r>
        <w:rPr>
          <w:rFonts w:hint="eastAsia" w:ascii="仿宋_GB2312" w:hAnsi="宋体" w:eastAsia="仿宋_GB2312"/>
          <w:color w:val="auto"/>
          <w:kern w:val="0"/>
          <w:sz w:val="28"/>
          <w:szCs w:val="28"/>
        </w:rPr>
        <w:t>4.本合同一式</w:t>
      </w:r>
      <w:r>
        <w:rPr>
          <w:rFonts w:hint="eastAsia" w:ascii="仿宋_GB2312" w:hAnsi="宋体" w:eastAsia="仿宋_GB2312"/>
          <w:color w:val="auto"/>
          <w:kern w:val="0"/>
          <w:sz w:val="28"/>
          <w:szCs w:val="28"/>
          <w:u w:val="single"/>
        </w:rPr>
        <w:t xml:space="preserve">   </w:t>
      </w:r>
      <w:r>
        <w:rPr>
          <w:rFonts w:hint="eastAsia" w:ascii="仿宋_GB2312" w:hAnsi="宋体" w:eastAsia="仿宋_GB2312"/>
          <w:color w:val="auto"/>
          <w:kern w:val="0"/>
          <w:sz w:val="28"/>
          <w:szCs w:val="28"/>
        </w:rPr>
        <w:t>份，具有同等法律效力，甲乙双方各执</w:t>
      </w:r>
      <w:r>
        <w:rPr>
          <w:rFonts w:hint="eastAsia" w:ascii="仿宋_GB2312" w:hAnsi="宋体" w:eastAsia="仿宋_GB2312"/>
          <w:color w:val="auto"/>
          <w:kern w:val="0"/>
          <w:sz w:val="28"/>
          <w:szCs w:val="28"/>
          <w:u w:val="single"/>
        </w:rPr>
        <w:t xml:space="preserve">   </w:t>
      </w:r>
      <w:r>
        <w:rPr>
          <w:rFonts w:hint="eastAsia" w:ascii="仿宋_GB2312" w:hAnsi="宋体" w:eastAsia="仿宋_GB2312"/>
          <w:color w:val="auto"/>
          <w:kern w:val="0"/>
          <w:sz w:val="28"/>
          <w:szCs w:val="28"/>
        </w:rPr>
        <w:t>份，</w:t>
      </w:r>
      <w:r>
        <w:rPr>
          <w:rFonts w:hint="eastAsia" w:ascii="仿宋_GB2312" w:hAnsi="宋体" w:eastAsia="仿宋_GB2312"/>
          <w:color w:val="auto"/>
          <w:kern w:val="0"/>
          <w:sz w:val="28"/>
          <w:szCs w:val="28"/>
          <w:u w:val="single"/>
        </w:rPr>
        <w:t xml:space="preserve"> 1 </w:t>
      </w:r>
      <w:r>
        <w:rPr>
          <w:rFonts w:hint="eastAsia" w:ascii="仿宋_GB2312" w:hAnsi="宋体" w:eastAsia="仿宋_GB2312"/>
          <w:color w:val="auto"/>
          <w:kern w:val="0"/>
          <w:sz w:val="28"/>
          <w:szCs w:val="28"/>
        </w:rPr>
        <w:t>份报送政府采购监督管理部门备案</w:t>
      </w:r>
    </w:p>
    <w:p>
      <w:pPr>
        <w:pStyle w:val="71"/>
        <w:spacing w:beforeLines="50" w:line="360" w:lineRule="auto"/>
        <w:ind w:firstLine="562"/>
        <w:rPr>
          <w:rFonts w:ascii="黑体" w:hAnsi="黑体" w:eastAsia="黑体"/>
          <w:b/>
          <w:color w:val="auto"/>
          <w:sz w:val="28"/>
          <w:szCs w:val="28"/>
        </w:rPr>
      </w:pPr>
    </w:p>
    <w:p>
      <w:pPr>
        <w:pStyle w:val="66"/>
        <w:spacing w:line="500" w:lineRule="exact"/>
        <w:ind w:left="479" w:leftChars="228"/>
        <w:rPr>
          <w:rFonts w:ascii="仿宋_GB2312" w:eastAsia="仿宋_GB2312"/>
          <w:color w:val="auto"/>
          <w:sz w:val="28"/>
          <w:szCs w:val="28"/>
        </w:rPr>
      </w:pPr>
      <w:r>
        <w:rPr>
          <w:rFonts w:hint="eastAsia" w:ascii="仿宋_GB2312" w:hAnsi="宋体" w:eastAsia="仿宋_GB2312" w:cs="宋体"/>
          <w:color w:val="auto"/>
          <w:sz w:val="28"/>
          <w:szCs w:val="28"/>
        </w:rPr>
        <w:t>甲方：</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（盖章）        乙方：</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 xml:space="preserve">（盖章） </w:t>
      </w:r>
      <w:r>
        <w:rPr>
          <w:rFonts w:hint="eastAsia" w:ascii="仿宋_GB2312" w:hAnsi="宋体" w:eastAsia="仿宋_GB2312" w:cs="宋体"/>
          <w:color w:val="auto"/>
          <w:sz w:val="28"/>
          <w:szCs w:val="28"/>
        </w:rPr>
        <w:br w:type="textWrapping"/>
      </w:r>
      <w:r>
        <w:rPr>
          <w:rFonts w:hint="eastAsia" w:ascii="仿宋_GB2312" w:hAnsi="宋体" w:eastAsia="仿宋_GB2312" w:cs="宋体"/>
          <w:color w:val="auto"/>
          <w:sz w:val="28"/>
          <w:szCs w:val="28"/>
        </w:rPr>
        <w:t>法定代表人                          法定代表人</w:t>
      </w:r>
    </w:p>
    <w:p>
      <w:pPr>
        <w:pStyle w:val="66"/>
        <w:spacing w:line="500" w:lineRule="exact"/>
        <w:ind w:firstLine="480"/>
        <w:rPr>
          <w:rFonts w:ascii="仿宋_GB2312" w:eastAsia="仿宋_GB2312"/>
          <w:color w:val="auto"/>
          <w:sz w:val="28"/>
          <w:szCs w:val="28"/>
        </w:rPr>
      </w:pPr>
      <w:r>
        <w:rPr>
          <w:rFonts w:hint="eastAsia" w:ascii="仿宋_GB2312" w:hAnsi="宋体" w:eastAsia="仿宋_GB2312" w:cs="宋体"/>
          <w:color w:val="auto"/>
          <w:sz w:val="28"/>
          <w:szCs w:val="28"/>
        </w:rPr>
        <w:t>或其授权的代理人：</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（签字）     或其授权的代理人：</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 xml:space="preserve">（签字）         </w:t>
      </w:r>
      <w:r>
        <w:rPr>
          <w:rFonts w:hint="eastAsia" w:ascii="仿宋_GB2312" w:hAnsi="宋体" w:eastAsia="仿宋_GB2312" w:cs="宋体"/>
          <w:color w:val="auto"/>
          <w:sz w:val="28"/>
          <w:szCs w:val="28"/>
        </w:rPr>
        <w:br w:type="textWrapping"/>
      </w:r>
      <w:r>
        <w:rPr>
          <w:rFonts w:hint="eastAsia" w:ascii="仿宋_GB2312" w:hAnsi="宋体" w:eastAsia="仿宋_GB2312" w:cs="宋体"/>
          <w:color w:val="auto"/>
          <w:sz w:val="28"/>
          <w:szCs w:val="28"/>
        </w:rPr>
        <w:t xml:space="preserve">    住    所：                          住    所：</w:t>
      </w:r>
    </w:p>
    <w:p>
      <w:pPr>
        <w:pStyle w:val="66"/>
        <w:spacing w:line="500" w:lineRule="exact"/>
        <w:ind w:firstLine="560" w:firstLineChars="200"/>
        <w:rPr>
          <w:rFonts w:ascii="仿宋_GB2312" w:eastAsia="仿宋_GB2312"/>
          <w:color w:val="auto"/>
          <w:sz w:val="28"/>
          <w:szCs w:val="28"/>
        </w:rPr>
      </w:pPr>
      <w:r>
        <w:rPr>
          <w:rFonts w:hint="eastAsia" w:ascii="仿宋_GB2312" w:hAnsi="宋体" w:eastAsia="仿宋_GB2312" w:cs="宋体"/>
          <w:color w:val="auto"/>
          <w:sz w:val="28"/>
          <w:szCs w:val="28"/>
        </w:rPr>
        <w:t>开户银行：                          开户银行：</w:t>
      </w:r>
      <w:r>
        <w:rPr>
          <w:rFonts w:hint="eastAsia" w:ascii="仿宋_GB2312" w:eastAsia="仿宋_GB2312"/>
          <w:color w:val="auto"/>
          <w:sz w:val="28"/>
          <w:szCs w:val="28"/>
        </w:rPr>
        <w:br w:type="textWrapping"/>
      </w:r>
      <w:r>
        <w:rPr>
          <w:rFonts w:hint="eastAsia" w:ascii="仿宋_GB2312" w:hAnsi="宋体" w:eastAsia="仿宋_GB2312" w:cs="宋体"/>
          <w:color w:val="auto"/>
          <w:sz w:val="28"/>
          <w:szCs w:val="28"/>
        </w:rPr>
        <w:t xml:space="preserve">    电    话：                          电    话：</w:t>
      </w:r>
    </w:p>
    <w:p>
      <w:pPr>
        <w:pStyle w:val="66"/>
        <w:spacing w:line="500" w:lineRule="exact"/>
        <w:ind w:firstLine="560" w:firstLineChars="200"/>
        <w:rPr>
          <w:rFonts w:ascii="仿宋_GB2312" w:hAnsi="宋体" w:eastAsia="仿宋_GB2312" w:cs="宋体"/>
          <w:color w:val="auto"/>
          <w:sz w:val="28"/>
          <w:szCs w:val="28"/>
        </w:rPr>
      </w:pPr>
      <w:r>
        <w:rPr>
          <w:rFonts w:hint="eastAsia" w:ascii="仿宋_GB2312" w:hAnsi="宋体" w:eastAsia="仿宋_GB2312" w:cs="宋体"/>
          <w:color w:val="auto"/>
          <w:sz w:val="28"/>
          <w:szCs w:val="28"/>
        </w:rPr>
        <w:t>电子信箱：                          电子信箱：</w:t>
      </w:r>
    </w:p>
    <w:p>
      <w:pPr>
        <w:pStyle w:val="71"/>
        <w:spacing w:beforeLines="100" w:line="360" w:lineRule="auto"/>
        <w:ind w:firstLine="560"/>
        <w:rPr>
          <w:rFonts w:ascii="仿宋_GB2312" w:hAnsi="宋体" w:eastAsia="仿宋_GB2312"/>
          <w:color w:val="auto"/>
          <w:sz w:val="28"/>
          <w:szCs w:val="28"/>
        </w:rPr>
      </w:pPr>
    </w:p>
    <w:p>
      <w:pPr>
        <w:pStyle w:val="71"/>
        <w:spacing w:beforeLines="100" w:line="360" w:lineRule="auto"/>
        <w:ind w:firstLine="560"/>
        <w:rPr>
          <w:rFonts w:ascii="仿宋_GB2312" w:hAnsi="宋体" w:eastAsia="仿宋_GB2312"/>
          <w:color w:val="auto"/>
          <w:sz w:val="28"/>
          <w:szCs w:val="28"/>
        </w:rPr>
      </w:pPr>
      <w:r>
        <w:rPr>
          <w:rFonts w:hint="eastAsia" w:ascii="仿宋_GB2312" w:hAnsi="宋体" w:eastAsia="仿宋_GB2312"/>
          <w:color w:val="auto"/>
          <w:sz w:val="28"/>
          <w:szCs w:val="28"/>
        </w:rPr>
        <w:t>见证单位：</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（公章）</w:t>
      </w:r>
    </w:p>
    <w:p>
      <w:pPr>
        <w:pStyle w:val="71"/>
        <w:spacing w:beforeLines="100" w:line="360" w:lineRule="auto"/>
        <w:ind w:firstLine="560"/>
        <w:rPr>
          <w:rFonts w:ascii="仿宋_GB2312" w:hAnsi="宋体" w:eastAsia="仿宋_GB2312"/>
          <w:color w:val="auto"/>
          <w:sz w:val="28"/>
          <w:szCs w:val="28"/>
        </w:rPr>
      </w:pPr>
      <w:r>
        <w:rPr>
          <w:rFonts w:hint="eastAsia" w:ascii="仿宋_GB2312" w:hAnsi="宋体" w:eastAsia="仿宋_GB2312"/>
          <w:color w:val="auto"/>
          <w:sz w:val="28"/>
          <w:szCs w:val="28"/>
        </w:rPr>
        <w:t>日期：2021年    月    日</w:t>
      </w:r>
    </w:p>
    <w:p>
      <w:pPr>
        <w:pStyle w:val="2"/>
        <w:rPr>
          <w:color w:val="auto"/>
        </w:rPr>
      </w:pPr>
    </w:p>
    <w:p>
      <w:pPr>
        <w:rPr>
          <w:color w:val="auto"/>
        </w:rPr>
      </w:pPr>
    </w:p>
    <w:p>
      <w:pPr>
        <w:pStyle w:val="3"/>
        <w:adjustRightInd w:val="0"/>
        <w:snapToGrid w:val="0"/>
        <w:spacing w:before="0" w:after="0" w:line="360" w:lineRule="auto"/>
        <w:jc w:val="center"/>
        <w:rPr>
          <w:rFonts w:ascii="黑体" w:hAnsi="黑体" w:eastAsia="黑体" w:cs="仿宋_GB2312"/>
          <w:color w:val="auto"/>
        </w:rPr>
      </w:pPr>
      <w:bookmarkStart w:id="157" w:name="_Toc73278720"/>
      <w:r>
        <w:rPr>
          <w:rFonts w:hint="eastAsia" w:ascii="黑体" w:hAnsi="黑体" w:eastAsia="黑体" w:cs="仿宋_GB2312"/>
          <w:color w:val="auto"/>
        </w:rPr>
        <w:t>第六章 投标文件格式</w:t>
      </w:r>
      <w:bookmarkEnd w:id="157"/>
    </w:p>
    <w:p>
      <w:pPr>
        <w:rPr>
          <w:color w:val="auto"/>
        </w:rPr>
      </w:pPr>
    </w:p>
    <w:p>
      <w:pPr>
        <w:pStyle w:val="2"/>
        <w:rPr>
          <w:color w:val="auto"/>
        </w:rPr>
      </w:pPr>
    </w:p>
    <w:p>
      <w:pPr>
        <w:rPr>
          <w:color w:val="auto"/>
        </w:rPr>
      </w:pPr>
    </w:p>
    <w:p>
      <w:pPr>
        <w:spacing w:line="360" w:lineRule="auto"/>
        <w:ind w:firstLine="548" w:firstLineChars="196"/>
        <w:rPr>
          <w:rFonts w:ascii="仿宋_GB2312" w:hAnsi="宋体" w:eastAsia="仿宋_GB2312"/>
          <w:b/>
          <w:color w:val="auto"/>
          <w:sz w:val="28"/>
          <w:szCs w:val="28"/>
        </w:rPr>
      </w:pPr>
      <w:r>
        <w:rPr>
          <w:rFonts w:hint="eastAsia" w:ascii="仿宋_GB2312" w:hAnsi="宋体" w:eastAsia="仿宋_GB2312"/>
          <w:color w:val="auto"/>
          <w:sz w:val="28"/>
          <w:szCs w:val="28"/>
        </w:rPr>
        <w:t>投标文件格式是投标人的部分投标文件格式，投标人应当严格按照这些格式编制投标文件。编制投标文件前，请认真仔细阅读招标文件，理解文件中的每一项要求，做出逐一实质性响应，认为有必要，可做补充说明。</w:t>
      </w: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tabs>
          <w:tab w:val="left" w:pos="6832"/>
        </w:tabs>
        <w:ind w:firstLine="8213" w:firstLineChars="2279"/>
        <w:rPr>
          <w:color w:val="auto"/>
          <w:sz w:val="36"/>
          <w:szCs w:val="36"/>
        </w:rPr>
      </w:pPr>
      <w:r>
        <w:rPr>
          <w:rFonts w:hint="eastAsia" w:ascii="华文中宋" w:hAnsi="华文中宋" w:eastAsia="华文中宋"/>
          <w:b/>
          <w:color w:val="auto"/>
          <w:sz w:val="36"/>
          <w:szCs w:val="36"/>
        </w:rPr>
        <w:t xml:space="preserve">正/副本     </w:t>
      </w:r>
      <w:r>
        <w:rPr>
          <w:rFonts w:hint="eastAsia"/>
          <w:color w:val="auto"/>
          <w:sz w:val="36"/>
          <w:szCs w:val="36"/>
        </w:rPr>
        <w:t xml:space="preserve">           </w:t>
      </w:r>
    </w:p>
    <w:p>
      <w:pPr>
        <w:tabs>
          <w:tab w:val="left" w:pos="6832"/>
        </w:tabs>
        <w:rPr>
          <w:color w:val="auto"/>
        </w:rPr>
      </w:pPr>
      <w:r>
        <w:rPr>
          <w:rFonts w:hint="eastAsia"/>
          <w:color w:val="auto"/>
        </w:rPr>
        <w:tab/>
      </w:r>
    </w:p>
    <w:p>
      <w:pPr>
        <w:rPr>
          <w:color w:val="auto"/>
        </w:rPr>
      </w:pPr>
    </w:p>
    <w:p>
      <w:pPr>
        <w:rPr>
          <w:color w:val="auto"/>
        </w:rPr>
      </w:pPr>
      <w:r>
        <w:rPr>
          <w:rFonts w:hint="eastAsia"/>
          <w:color w:val="auto"/>
        </w:rPr>
        <w:t xml:space="preserve">  </w:t>
      </w:r>
    </w:p>
    <w:p>
      <w:pPr>
        <w:rPr>
          <w:color w:val="auto"/>
        </w:rPr>
      </w:pPr>
    </w:p>
    <w:p>
      <w:pPr>
        <w:spacing w:line="360" w:lineRule="auto"/>
        <w:jc w:val="center"/>
        <w:rPr>
          <w:rFonts w:ascii="华文中宋" w:hAnsi="华文中宋" w:eastAsia="华文中宋"/>
          <w:b/>
          <w:color w:val="auto"/>
          <w:sz w:val="48"/>
          <w:szCs w:val="48"/>
        </w:rPr>
      </w:pPr>
      <w:r>
        <w:rPr>
          <w:rFonts w:hint="eastAsia" w:ascii="华文中宋" w:hAnsi="华文中宋" w:eastAsia="华文中宋"/>
          <w:b/>
          <w:color w:val="auto"/>
          <w:sz w:val="48"/>
          <w:szCs w:val="48"/>
        </w:rPr>
        <w:t>西安航天城第一小学</w:t>
      </w:r>
    </w:p>
    <w:p>
      <w:pPr>
        <w:spacing w:afterLines="100" w:line="360" w:lineRule="auto"/>
        <w:jc w:val="center"/>
        <w:rPr>
          <w:rFonts w:ascii="仿宋" w:hAnsi="仿宋" w:eastAsia="仿宋" w:cs="仿宋_GB2312"/>
          <w:b/>
          <w:bCs/>
          <w:color w:val="auto"/>
          <w:spacing w:val="60"/>
        </w:rPr>
      </w:pPr>
      <w:r>
        <w:rPr>
          <w:rFonts w:hint="eastAsia" w:ascii="华文中宋" w:hAnsi="华文中宋" w:eastAsia="华文中宋"/>
          <w:b/>
          <w:color w:val="auto"/>
          <w:spacing w:val="60"/>
          <w:sz w:val="48"/>
          <w:szCs w:val="48"/>
        </w:rPr>
        <w:t>护眼灯采购及安装项目</w:t>
      </w:r>
    </w:p>
    <w:p>
      <w:pPr>
        <w:jc w:val="center"/>
        <w:rPr>
          <w:rFonts w:ascii="仿宋" w:hAnsi="仿宋" w:eastAsia="仿宋" w:cs="仿宋_GB2312"/>
          <w:b/>
          <w:bCs/>
          <w:color w:val="auto"/>
        </w:rPr>
      </w:pPr>
    </w:p>
    <w:p>
      <w:pPr>
        <w:jc w:val="center"/>
        <w:rPr>
          <w:rFonts w:ascii="华文中宋" w:hAnsi="华文中宋" w:eastAsia="华文中宋"/>
          <w:b/>
          <w:color w:val="auto"/>
          <w:sz w:val="72"/>
          <w:szCs w:val="72"/>
        </w:rPr>
      </w:pPr>
      <w:r>
        <w:rPr>
          <w:rFonts w:hint="eastAsia" w:ascii="华文中宋" w:hAnsi="华文中宋" w:eastAsia="华文中宋"/>
          <w:b/>
          <w:color w:val="auto"/>
          <w:sz w:val="72"/>
          <w:szCs w:val="72"/>
        </w:rPr>
        <w:t xml:space="preserve">投 标 </w:t>
      </w:r>
      <w:r>
        <w:rPr>
          <w:rFonts w:ascii="华文中宋" w:hAnsi="华文中宋" w:eastAsia="华文中宋"/>
          <w:b/>
          <w:color w:val="auto"/>
          <w:sz w:val="72"/>
          <w:szCs w:val="72"/>
        </w:rPr>
        <w:t>文</w:t>
      </w:r>
      <w:r>
        <w:rPr>
          <w:rFonts w:hint="eastAsia" w:ascii="华文中宋" w:hAnsi="华文中宋" w:eastAsia="华文中宋"/>
          <w:b/>
          <w:color w:val="auto"/>
          <w:sz w:val="72"/>
          <w:szCs w:val="72"/>
        </w:rPr>
        <w:t xml:space="preserve"> </w:t>
      </w:r>
      <w:r>
        <w:rPr>
          <w:rFonts w:ascii="华文中宋" w:hAnsi="华文中宋" w:eastAsia="华文中宋"/>
          <w:b/>
          <w:color w:val="auto"/>
          <w:sz w:val="72"/>
          <w:szCs w:val="72"/>
        </w:rPr>
        <w:t>件</w:t>
      </w:r>
    </w:p>
    <w:p>
      <w:pPr>
        <w:jc w:val="center"/>
        <w:rPr>
          <w:rFonts w:ascii="仿宋" w:hAnsi="仿宋" w:eastAsia="仿宋" w:cs="仿宋_GB2312"/>
          <w:b/>
          <w:bCs/>
          <w:color w:val="auto"/>
        </w:rPr>
      </w:pPr>
    </w:p>
    <w:p>
      <w:pPr>
        <w:jc w:val="center"/>
        <w:rPr>
          <w:rFonts w:ascii="仿宋" w:hAnsi="仿宋" w:eastAsia="仿宋" w:cs="仿宋_GB2312"/>
          <w:b/>
          <w:bCs/>
          <w:color w:val="auto"/>
        </w:rPr>
      </w:pPr>
    </w:p>
    <w:p>
      <w:pPr>
        <w:jc w:val="center"/>
        <w:rPr>
          <w:rFonts w:ascii="仿宋" w:hAnsi="仿宋" w:eastAsia="仿宋" w:cs="仿宋_GB2312"/>
          <w:b/>
          <w:bCs/>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jc w:val="center"/>
        <w:rPr>
          <w:rFonts w:ascii="仿宋" w:hAnsi="仿宋" w:eastAsia="仿宋" w:cs="仿宋_GB2312"/>
          <w:b/>
          <w:bCs/>
          <w:color w:val="auto"/>
        </w:rPr>
      </w:pPr>
    </w:p>
    <w:p>
      <w:pPr>
        <w:rPr>
          <w:rFonts w:ascii="仿宋" w:hAnsi="仿宋" w:eastAsia="仿宋" w:cs="仿宋_GB2312"/>
          <w:color w:val="auto"/>
        </w:rPr>
      </w:pPr>
    </w:p>
    <w:p>
      <w:pPr>
        <w:ind w:firstLine="900" w:firstLineChars="300"/>
        <w:rPr>
          <w:rFonts w:ascii="仿宋" w:hAnsi="仿宋" w:eastAsia="仿宋" w:cs="仿宋_GB2312"/>
          <w:color w:val="auto"/>
          <w:sz w:val="30"/>
          <w:szCs w:val="30"/>
          <w:u w:val="single"/>
        </w:rPr>
      </w:pPr>
      <w:r>
        <w:rPr>
          <w:rFonts w:hint="eastAsia" w:ascii="仿宋" w:hAnsi="仿宋" w:eastAsia="仿宋" w:cs="仿宋_GB2312"/>
          <w:color w:val="auto"/>
          <w:sz w:val="30"/>
          <w:szCs w:val="30"/>
        </w:rPr>
        <w:t>项目编号：</w:t>
      </w:r>
      <w:r>
        <w:rPr>
          <w:rFonts w:hint="eastAsia" w:ascii="仿宋" w:hAnsi="仿宋" w:eastAsia="仿宋" w:cs="仿宋_GB2312"/>
          <w:color w:val="auto"/>
          <w:sz w:val="30"/>
          <w:szCs w:val="30"/>
          <w:u w:val="single"/>
        </w:rPr>
        <w:t xml:space="preserve">                              </w:t>
      </w:r>
    </w:p>
    <w:p>
      <w:pPr>
        <w:jc w:val="center"/>
        <w:rPr>
          <w:rFonts w:ascii="仿宋" w:hAnsi="仿宋" w:eastAsia="仿宋" w:cs="仿宋_GB2312"/>
          <w:color w:val="auto"/>
          <w:sz w:val="30"/>
          <w:szCs w:val="30"/>
        </w:rPr>
      </w:pPr>
    </w:p>
    <w:p>
      <w:pPr>
        <w:ind w:firstLine="900" w:firstLineChars="300"/>
        <w:rPr>
          <w:rFonts w:ascii="仿宋" w:hAnsi="仿宋" w:eastAsia="仿宋" w:cs="仿宋_GB2312"/>
          <w:color w:val="auto"/>
          <w:sz w:val="30"/>
          <w:szCs w:val="30"/>
        </w:rPr>
      </w:pPr>
      <w:r>
        <w:rPr>
          <w:rFonts w:hint="eastAsia" w:ascii="仿宋" w:hAnsi="仿宋" w:eastAsia="仿宋" w:cs="仿宋_GB2312"/>
          <w:color w:val="auto"/>
          <w:sz w:val="30"/>
          <w:szCs w:val="30"/>
        </w:rPr>
        <w:t>投标人名称：</w:t>
      </w:r>
      <w:r>
        <w:rPr>
          <w:rFonts w:hint="eastAsia" w:ascii="仿宋" w:hAnsi="仿宋" w:eastAsia="仿宋" w:cs="仿宋_GB2312"/>
          <w:color w:val="auto"/>
          <w:sz w:val="30"/>
          <w:szCs w:val="30"/>
          <w:u w:val="single"/>
        </w:rPr>
        <w:t xml:space="preserve">                            </w:t>
      </w:r>
      <w:r>
        <w:rPr>
          <w:rFonts w:hint="eastAsia" w:ascii="仿宋" w:hAnsi="仿宋" w:eastAsia="仿宋" w:cs="仿宋_GB2312"/>
          <w:color w:val="auto"/>
          <w:sz w:val="30"/>
          <w:szCs w:val="30"/>
        </w:rPr>
        <w:t>（公章）</w:t>
      </w:r>
    </w:p>
    <w:p>
      <w:pPr>
        <w:ind w:firstLine="900" w:firstLineChars="300"/>
        <w:rPr>
          <w:rFonts w:ascii="仿宋" w:hAnsi="仿宋" w:eastAsia="仿宋" w:cs="仿宋_GB2312"/>
          <w:color w:val="auto"/>
          <w:sz w:val="30"/>
          <w:szCs w:val="30"/>
        </w:rPr>
      </w:pPr>
    </w:p>
    <w:p>
      <w:pPr>
        <w:ind w:firstLine="900" w:firstLineChars="300"/>
        <w:rPr>
          <w:rFonts w:ascii="仿宋" w:hAnsi="仿宋" w:eastAsia="仿宋" w:cs="仿宋_GB2312"/>
          <w:color w:val="auto"/>
          <w:sz w:val="30"/>
          <w:szCs w:val="30"/>
        </w:rPr>
      </w:pPr>
      <w:r>
        <w:rPr>
          <w:rFonts w:hint="eastAsia" w:ascii="仿宋" w:hAnsi="仿宋" w:eastAsia="仿宋" w:cs="仿宋_GB2312"/>
          <w:color w:val="auto"/>
          <w:sz w:val="30"/>
          <w:szCs w:val="30"/>
        </w:rPr>
        <w:t xml:space="preserve">法定代表人或其授权委托人： </w:t>
      </w:r>
      <w:r>
        <w:rPr>
          <w:rFonts w:hint="eastAsia" w:ascii="仿宋" w:hAnsi="仿宋" w:eastAsia="仿宋" w:cs="仿宋_GB2312"/>
          <w:color w:val="auto"/>
          <w:sz w:val="30"/>
          <w:szCs w:val="30"/>
          <w:u w:val="single"/>
        </w:rPr>
        <w:t xml:space="preserve">       </w:t>
      </w:r>
      <w:r>
        <w:rPr>
          <w:rFonts w:hint="eastAsia" w:ascii="仿宋" w:hAnsi="仿宋" w:eastAsia="仿宋" w:cs="仿宋_GB2312"/>
          <w:color w:val="auto"/>
          <w:sz w:val="30"/>
          <w:szCs w:val="30"/>
        </w:rPr>
        <w:t>（签字或盖章）</w:t>
      </w:r>
    </w:p>
    <w:p>
      <w:pPr>
        <w:rPr>
          <w:rFonts w:ascii="仿宋" w:hAnsi="仿宋" w:eastAsia="仿宋" w:cs="仿宋_GB2312"/>
          <w:color w:val="auto"/>
          <w:sz w:val="30"/>
          <w:szCs w:val="30"/>
        </w:rPr>
      </w:pPr>
    </w:p>
    <w:p>
      <w:pPr>
        <w:ind w:firstLine="900" w:firstLineChars="300"/>
        <w:rPr>
          <w:rFonts w:ascii="仿宋" w:hAnsi="仿宋" w:eastAsia="仿宋" w:cs="仿宋_GB2312"/>
          <w:color w:val="auto"/>
          <w:sz w:val="30"/>
          <w:szCs w:val="30"/>
        </w:rPr>
      </w:pPr>
      <w:r>
        <w:rPr>
          <w:rFonts w:ascii="仿宋" w:hAnsi="仿宋" w:eastAsia="仿宋" w:cs="仿宋_GB2312"/>
          <w:color w:val="auto"/>
          <w:sz w:val="30"/>
          <w:szCs w:val="30"/>
        </w:rPr>
        <w:t>日期</w:t>
      </w:r>
      <w:r>
        <w:rPr>
          <w:rFonts w:hint="eastAsia" w:ascii="仿宋" w:hAnsi="仿宋" w:eastAsia="仿宋" w:cs="仿宋_GB2312"/>
          <w:color w:val="auto"/>
          <w:sz w:val="30"/>
          <w:szCs w:val="30"/>
        </w:rPr>
        <w:t>：      年     月     日</w:t>
      </w:r>
    </w:p>
    <w:p>
      <w:pPr>
        <w:rPr>
          <w:color w:val="auto"/>
        </w:rPr>
      </w:pPr>
    </w:p>
    <w:p>
      <w:pPr>
        <w:pStyle w:val="2"/>
        <w:rPr>
          <w:color w:val="auto"/>
        </w:rPr>
      </w:pPr>
    </w:p>
    <w:p>
      <w:pPr>
        <w:rPr>
          <w:color w:val="auto"/>
        </w:rPr>
      </w:pPr>
    </w:p>
    <w:p>
      <w:pPr>
        <w:pStyle w:val="2"/>
        <w:rPr>
          <w:color w:val="auto"/>
        </w:rPr>
      </w:pPr>
    </w:p>
    <w:p>
      <w:pPr>
        <w:pStyle w:val="2"/>
        <w:rPr>
          <w:color w:val="auto"/>
        </w:rPr>
      </w:pPr>
    </w:p>
    <w:p>
      <w:pPr>
        <w:jc w:val="center"/>
        <w:rPr>
          <w:rFonts w:ascii="黑体" w:hAnsi="黑体" w:eastAsia="黑体"/>
          <w:color w:val="auto"/>
          <w:sz w:val="36"/>
          <w:szCs w:val="36"/>
        </w:rPr>
      </w:pPr>
      <w:r>
        <w:rPr>
          <w:rFonts w:hint="eastAsia" w:ascii="黑体" w:hAnsi="黑体" w:eastAsia="黑体"/>
          <w:color w:val="auto"/>
          <w:sz w:val="36"/>
          <w:szCs w:val="36"/>
        </w:rPr>
        <w:t>目 录</w:t>
      </w:r>
    </w:p>
    <w:p>
      <w:pPr>
        <w:pStyle w:val="2"/>
        <w:spacing w:beforeLines="100"/>
        <w:rPr>
          <w:rFonts w:ascii="黑体" w:hAnsi="黑体" w:eastAsia="黑体"/>
          <w:color w:val="auto"/>
          <w:sz w:val="28"/>
          <w:szCs w:val="28"/>
        </w:rPr>
      </w:pPr>
      <w:r>
        <w:rPr>
          <w:rFonts w:hint="eastAsia" w:ascii="黑体" w:hAnsi="黑体" w:eastAsia="黑体"/>
          <w:color w:val="auto"/>
          <w:sz w:val="28"/>
          <w:szCs w:val="28"/>
        </w:rPr>
        <w:t>一、商务部分</w:t>
      </w:r>
    </w:p>
    <w:p>
      <w:pPr>
        <w:pStyle w:val="16"/>
        <w:spacing w:after="0" w:line="500" w:lineRule="exact"/>
        <w:jc w:val="left"/>
        <w:rPr>
          <w:rFonts w:ascii="仿宋_GB2312" w:eastAsia="仿宋_GB2312"/>
          <w:bCs/>
          <w:color w:val="auto"/>
          <w:sz w:val="24"/>
        </w:rPr>
      </w:pPr>
      <w:r>
        <w:rPr>
          <w:rFonts w:hint="eastAsia" w:ascii="仿宋_GB2312" w:hAnsi="宋体" w:eastAsia="仿宋_GB2312"/>
          <w:color w:val="auto"/>
          <w:sz w:val="24"/>
        </w:rPr>
        <w:t>1、投 标 函</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eastAsia="仿宋_GB2312"/>
          <w:bCs/>
          <w:color w:val="auto"/>
          <w:sz w:val="24"/>
        </w:rPr>
      </w:pPr>
      <w:r>
        <w:rPr>
          <w:rFonts w:hint="eastAsia" w:ascii="仿宋_GB2312" w:hAnsi="宋体" w:eastAsia="仿宋_GB2312"/>
          <w:color w:val="auto"/>
          <w:sz w:val="24"/>
        </w:rPr>
        <w:t>2、开标一览表</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3、分项报价明细表</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4、商务条款偏离表</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5、所供货物为节能产品政府采购品目清单范围内情况一览表</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6、所供货物为环境标志产品政府采购品目清单范围内情况一览表</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7、中小企业声明函</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8、残疾人福利性单位声明函</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9、监狱企业证明函</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10、贫困地区农副产品声明函</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11、投标人企业实力及履约能力证明材料</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12、投标人认为需要提供的依据及证明材料</w:t>
      </w:r>
      <w:r>
        <w:rPr>
          <w:rFonts w:ascii="仿宋_GB2312" w:hAnsi="宋体" w:eastAsia="仿宋_GB2312"/>
          <w:color w:val="auto"/>
          <w:sz w:val="24"/>
        </w:rPr>
        <w:t>………………………………………………</w:t>
      </w:r>
      <w:r>
        <w:rPr>
          <w:rFonts w:hint="eastAsia" w:ascii="仿宋_GB2312" w:hAnsi="宋体" w:eastAsia="仿宋_GB2312"/>
          <w:color w:val="auto"/>
          <w:sz w:val="24"/>
        </w:rPr>
        <w:t>页码</w:t>
      </w:r>
    </w:p>
    <w:p>
      <w:pPr>
        <w:pStyle w:val="2"/>
        <w:spacing w:beforeLines="100"/>
        <w:rPr>
          <w:rFonts w:ascii="黑体" w:hAnsi="黑体" w:eastAsia="黑体"/>
          <w:color w:val="auto"/>
          <w:sz w:val="28"/>
          <w:szCs w:val="28"/>
        </w:rPr>
      </w:pPr>
      <w:r>
        <w:rPr>
          <w:rFonts w:hint="eastAsia" w:ascii="黑体" w:hAnsi="黑体" w:eastAsia="黑体"/>
          <w:color w:val="auto"/>
          <w:sz w:val="28"/>
          <w:szCs w:val="28"/>
        </w:rPr>
        <w:t>二、技术部分</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1、货物技术参数及配置偏离表</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2、质量保证</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3、核心产品制造商管理体系认证</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4、实施方案</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5、售后服务方案</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6、投标人认为有必要补充说明的事项</w:t>
      </w:r>
      <w:r>
        <w:rPr>
          <w:rFonts w:ascii="仿宋_GB2312" w:hAnsi="宋体" w:eastAsia="仿宋_GB2312"/>
          <w:color w:val="auto"/>
          <w:sz w:val="24"/>
        </w:rPr>
        <w:t>……………………………………………………</w:t>
      </w:r>
      <w:r>
        <w:rPr>
          <w:rFonts w:hint="eastAsia" w:ascii="仿宋_GB2312" w:hAnsi="宋体" w:eastAsia="仿宋_GB2312"/>
          <w:color w:val="auto"/>
          <w:sz w:val="24"/>
        </w:rPr>
        <w:t>页码</w:t>
      </w:r>
    </w:p>
    <w:p>
      <w:pPr>
        <w:pStyle w:val="2"/>
        <w:spacing w:beforeLines="100"/>
        <w:rPr>
          <w:rFonts w:ascii="黑体" w:hAnsi="黑体" w:eastAsia="黑体"/>
          <w:color w:val="auto"/>
          <w:sz w:val="28"/>
          <w:szCs w:val="28"/>
        </w:rPr>
      </w:pPr>
      <w:r>
        <w:rPr>
          <w:rFonts w:hint="eastAsia" w:ascii="黑体" w:hAnsi="黑体" w:eastAsia="黑体"/>
          <w:color w:val="auto"/>
          <w:sz w:val="28"/>
          <w:szCs w:val="28"/>
        </w:rPr>
        <w:t>三、资格部分</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1、投标人基本情况表</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2、法定代表人身份证明</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3、法定代表人授权委托书</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4、所供核心产品情况一览表</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5、营业执照</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6、2019或2020年度财务审计报告或投标人基本开户银行出具的资信证明</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7、完税证明</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8、养老保险或社保参保缴费情况证明</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9、具备履行合同所必需的设备和专业技术能力承诺函</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10、参加政府采购活动前3年内在经营活动中没有重大违法记录的书面声明</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11、近年发生的诉讼及仲裁情况表</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12、投标声明书</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13、投标人企业关系关联承诺书</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14、投标人自觉抵制政府采购领域商业贿赂行为承诺书</w:t>
      </w:r>
      <w:r>
        <w:rPr>
          <w:rFonts w:ascii="仿宋_GB2312" w:hAnsi="宋体" w:eastAsia="仿宋_GB2312"/>
          <w:color w:val="auto"/>
          <w:sz w:val="24"/>
        </w:rPr>
        <w:t>…………………………………</w:t>
      </w:r>
      <w:r>
        <w:rPr>
          <w:rFonts w:hint="eastAsia" w:ascii="仿宋_GB2312" w:hAnsi="宋体" w:eastAsia="仿宋_GB2312"/>
          <w:color w:val="auto"/>
          <w:sz w:val="24"/>
        </w:rPr>
        <w:t>页码</w:t>
      </w:r>
    </w:p>
    <w:p>
      <w:pPr>
        <w:pStyle w:val="16"/>
        <w:spacing w:after="0" w:line="500" w:lineRule="exact"/>
        <w:jc w:val="left"/>
        <w:rPr>
          <w:rFonts w:ascii="仿宋_GB2312" w:hAnsi="宋体" w:eastAsia="仿宋_GB2312"/>
          <w:color w:val="auto"/>
          <w:sz w:val="24"/>
        </w:rPr>
      </w:pPr>
      <w:r>
        <w:rPr>
          <w:rFonts w:hint="eastAsia" w:ascii="仿宋_GB2312" w:hAnsi="宋体" w:eastAsia="仿宋_GB2312"/>
          <w:color w:val="auto"/>
          <w:sz w:val="24"/>
        </w:rPr>
        <w:t>15、投标人认为有必要补充说明的事项</w:t>
      </w:r>
      <w:r>
        <w:rPr>
          <w:rFonts w:ascii="仿宋_GB2312" w:hAnsi="宋体" w:eastAsia="仿宋_GB2312"/>
          <w:color w:val="auto"/>
          <w:sz w:val="24"/>
        </w:rPr>
        <w:t>……………………………………………………</w:t>
      </w:r>
      <w:r>
        <w:rPr>
          <w:rFonts w:hint="eastAsia" w:ascii="仿宋_GB2312" w:hAnsi="宋体" w:eastAsia="仿宋_GB2312"/>
          <w:color w:val="auto"/>
          <w:sz w:val="24"/>
        </w:rPr>
        <w:t>页码</w:t>
      </w:r>
    </w:p>
    <w:p>
      <w:pPr>
        <w:rPr>
          <w:color w:val="auto"/>
        </w:rPr>
      </w:pPr>
    </w:p>
    <w:p>
      <w:pPr>
        <w:pStyle w:val="2"/>
        <w:rPr>
          <w:color w:val="auto"/>
        </w:rPr>
      </w:pPr>
    </w:p>
    <w:p>
      <w:pPr>
        <w:rPr>
          <w:color w:val="auto"/>
        </w:rPr>
      </w:pPr>
    </w:p>
    <w:p>
      <w:pPr>
        <w:spacing w:line="500" w:lineRule="exact"/>
        <w:rPr>
          <w:rFonts w:ascii="仿宋_GB2312" w:hAnsi="宋体" w:eastAsia="仿宋_GB2312"/>
          <w:color w:val="auto"/>
          <w:sz w:val="28"/>
          <w:szCs w:val="28"/>
        </w:rPr>
      </w:pPr>
      <w:r>
        <w:rPr>
          <w:rFonts w:hint="eastAsia" w:ascii="仿宋_GB2312" w:hAnsi="宋体" w:eastAsia="仿宋_GB2312"/>
          <w:color w:val="auto"/>
          <w:sz w:val="28"/>
          <w:szCs w:val="28"/>
        </w:rPr>
        <w:t>以上目录仅供参考，实际应以投标文件内容为准。</w:t>
      </w:r>
    </w:p>
    <w:p>
      <w:pPr>
        <w:spacing w:line="500" w:lineRule="exact"/>
        <w:rPr>
          <w:rFonts w:ascii="仿宋_GB2312" w:hAnsi="宋体" w:eastAsia="仿宋_GB2312"/>
          <w:color w:val="auto"/>
          <w:sz w:val="28"/>
          <w:szCs w:val="28"/>
        </w:rPr>
      </w:pPr>
      <w:r>
        <w:rPr>
          <w:rFonts w:hint="eastAsia" w:ascii="仿宋_GB2312" w:hAnsi="宋体" w:eastAsia="仿宋_GB2312"/>
          <w:color w:val="auto"/>
          <w:sz w:val="28"/>
          <w:szCs w:val="28"/>
        </w:rPr>
        <w:t>以上目录中的“页码”仅为示例，投标人应根据实际进行编辑。</w:t>
      </w: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pStyle w:val="2"/>
        <w:rPr>
          <w:color w:val="auto"/>
        </w:rPr>
      </w:pPr>
    </w:p>
    <w:p>
      <w:pPr>
        <w:rPr>
          <w:color w:val="auto"/>
        </w:rPr>
      </w:pPr>
    </w:p>
    <w:p>
      <w:pPr>
        <w:pStyle w:val="2"/>
        <w:rPr>
          <w:rFonts w:ascii="黑体" w:hAnsi="黑体" w:eastAsia="黑体"/>
          <w:color w:val="auto"/>
          <w:sz w:val="30"/>
          <w:szCs w:val="30"/>
        </w:rPr>
      </w:pPr>
      <w:r>
        <w:rPr>
          <w:rFonts w:hint="eastAsia" w:ascii="黑体" w:hAnsi="黑体" w:eastAsia="黑体"/>
          <w:color w:val="auto"/>
          <w:sz w:val="30"/>
          <w:szCs w:val="30"/>
        </w:rPr>
        <w:t>一、商务部分</w:t>
      </w:r>
    </w:p>
    <w:p>
      <w:pPr>
        <w:pStyle w:val="16"/>
        <w:spacing w:beforeLines="100" w:afterLines="100" w:line="360" w:lineRule="auto"/>
        <w:jc w:val="center"/>
        <w:rPr>
          <w:rFonts w:ascii="黑体" w:eastAsia="黑体"/>
          <w:bCs/>
          <w:color w:val="auto"/>
          <w:sz w:val="28"/>
          <w:szCs w:val="28"/>
        </w:rPr>
      </w:pPr>
      <w:r>
        <w:rPr>
          <w:rFonts w:hint="eastAsia" w:ascii="黑体" w:hAnsi="宋体" w:eastAsia="黑体"/>
          <w:color w:val="auto"/>
          <w:sz w:val="36"/>
          <w:szCs w:val="36"/>
        </w:rPr>
        <w:t>1、投 标 函</w:t>
      </w:r>
    </w:p>
    <w:p>
      <w:pPr>
        <w:pStyle w:val="16"/>
        <w:spacing w:afterLines="100" w:line="400" w:lineRule="exact"/>
        <w:ind w:left="0" w:leftChars="0"/>
        <w:rPr>
          <w:rFonts w:ascii="仿宋_GB2312" w:hAnsi="宋体" w:eastAsia="仿宋_GB2312"/>
          <w:bCs/>
          <w:color w:val="auto"/>
          <w:sz w:val="28"/>
          <w:szCs w:val="28"/>
        </w:rPr>
      </w:pPr>
      <w:r>
        <w:rPr>
          <w:rFonts w:hint="eastAsia" w:ascii="仿宋_GB2312" w:hAnsi="宋体" w:eastAsia="仿宋_GB2312"/>
          <w:b/>
          <w:bCs/>
          <w:color w:val="auto"/>
          <w:sz w:val="28"/>
          <w:szCs w:val="28"/>
        </w:rPr>
        <w:t>陕西华兴工程咨询有限公司</w:t>
      </w:r>
      <w:r>
        <w:rPr>
          <w:rFonts w:hint="eastAsia" w:ascii="仿宋_GB2312" w:hAnsi="宋体" w:eastAsia="仿宋_GB2312"/>
          <w:bCs/>
          <w:color w:val="auto"/>
          <w:sz w:val="28"/>
          <w:szCs w:val="28"/>
        </w:rPr>
        <w:t>：</w:t>
      </w:r>
    </w:p>
    <w:p>
      <w:pPr>
        <w:pStyle w:val="15"/>
        <w:adjustRightInd w:val="0"/>
        <w:snapToGrid w:val="0"/>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我方已仔细研究了</w:t>
      </w:r>
      <w:r>
        <w:rPr>
          <w:rFonts w:hint="eastAsia" w:ascii="仿宋_GB2312" w:hAnsi="宋体" w:eastAsia="仿宋_GB2312"/>
          <w:color w:val="auto"/>
          <w:sz w:val="28"/>
          <w:szCs w:val="28"/>
          <w:u w:val="single"/>
        </w:rPr>
        <w:t xml:space="preserve"> 西安航天城第一小学护眼灯采购与安装项目 </w:t>
      </w:r>
      <w:r>
        <w:rPr>
          <w:rFonts w:hint="eastAsia" w:ascii="仿宋_GB2312" w:hAnsi="宋体" w:eastAsia="仿宋_GB2312"/>
          <w:color w:val="auto"/>
          <w:sz w:val="28"/>
          <w:szCs w:val="28"/>
        </w:rPr>
        <w:t>的招标文件（项目编号：</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）的全部内容，知悉参加投标的风险，我方承诺接受招标文件的全部条款且无任何异议，</w:t>
      </w:r>
      <w:r>
        <w:rPr>
          <w:rFonts w:hint="eastAsia" w:ascii="仿宋_GB2312" w:hAnsi="宋体" w:eastAsia="仿宋_GB2312"/>
          <w:bCs/>
          <w:color w:val="auto"/>
          <w:sz w:val="28"/>
          <w:szCs w:val="28"/>
        </w:rPr>
        <w:t>决定参加贵单位组织的本项目招标。</w:t>
      </w:r>
    </w:p>
    <w:p>
      <w:pPr>
        <w:pStyle w:val="15"/>
        <w:adjustRightInd w:val="0"/>
        <w:snapToGrid w:val="0"/>
        <w:spacing w:line="360" w:lineRule="auto"/>
        <w:ind w:firstLine="560" w:firstLineChars="200"/>
        <w:rPr>
          <w:rFonts w:ascii="仿宋_GB2312" w:hAnsi="宋体" w:eastAsia="仿宋_GB2312"/>
          <w:bCs/>
          <w:color w:val="auto"/>
          <w:sz w:val="28"/>
          <w:szCs w:val="28"/>
        </w:rPr>
      </w:pPr>
      <w:r>
        <w:rPr>
          <w:rFonts w:hint="eastAsia" w:ascii="仿宋_GB2312" w:hAnsi="宋体" w:eastAsia="仿宋_GB2312"/>
          <w:color w:val="auto"/>
          <w:sz w:val="28"/>
          <w:szCs w:val="28"/>
        </w:rPr>
        <w:t>（1）我方提交纸质版投标文件正本一套和副本</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套，</w:t>
      </w:r>
      <w:r>
        <w:rPr>
          <w:rFonts w:hint="eastAsia" w:ascii="仿宋_GB2312" w:hAnsi="宋体" w:eastAsia="仿宋_GB2312"/>
          <w:bCs/>
          <w:color w:val="auto"/>
          <w:sz w:val="28"/>
          <w:szCs w:val="28"/>
        </w:rPr>
        <w:t>电子版投标文件光盘</w:t>
      </w:r>
      <w:r>
        <w:rPr>
          <w:rFonts w:hint="eastAsia" w:ascii="仿宋_GB2312" w:hAnsi="宋体" w:eastAsia="仿宋_GB2312"/>
          <w:bCs/>
          <w:color w:val="auto"/>
          <w:sz w:val="28"/>
          <w:szCs w:val="28"/>
          <w:u w:val="single"/>
        </w:rPr>
        <w:t xml:space="preserve">   </w:t>
      </w:r>
      <w:r>
        <w:rPr>
          <w:rFonts w:hint="eastAsia" w:ascii="仿宋_GB2312" w:hAnsi="宋体" w:eastAsia="仿宋_GB2312"/>
          <w:bCs/>
          <w:color w:val="auto"/>
          <w:sz w:val="28"/>
          <w:szCs w:val="28"/>
        </w:rPr>
        <w:t>张、U盘</w:t>
      </w:r>
      <w:r>
        <w:rPr>
          <w:rFonts w:hint="eastAsia" w:ascii="仿宋_GB2312" w:hAnsi="宋体" w:eastAsia="仿宋_GB2312"/>
          <w:bCs/>
          <w:color w:val="auto"/>
          <w:sz w:val="28"/>
          <w:szCs w:val="28"/>
          <w:u w:val="single"/>
        </w:rPr>
        <w:t xml:space="preserve">    </w:t>
      </w:r>
      <w:r>
        <w:rPr>
          <w:rFonts w:hint="eastAsia" w:ascii="仿宋_GB2312" w:hAnsi="宋体" w:eastAsia="仿宋_GB2312"/>
          <w:bCs/>
          <w:color w:val="auto"/>
          <w:sz w:val="28"/>
          <w:szCs w:val="28"/>
        </w:rPr>
        <w:t>个。</w:t>
      </w:r>
    </w:p>
    <w:p>
      <w:pPr>
        <w:pStyle w:val="15"/>
        <w:adjustRightInd w:val="0"/>
        <w:snapToGrid w:val="0"/>
        <w:spacing w:line="360" w:lineRule="auto"/>
        <w:ind w:firstLine="560" w:firstLineChars="200"/>
        <w:rPr>
          <w:rFonts w:ascii="仿宋_GB2312" w:eastAsia="仿宋_GB2312"/>
          <w:color w:val="auto"/>
          <w:sz w:val="28"/>
          <w:szCs w:val="28"/>
        </w:rPr>
      </w:pPr>
      <w:r>
        <w:rPr>
          <w:rFonts w:hint="eastAsia" w:ascii="仿宋_GB2312" w:hAnsi="宋体" w:eastAsia="仿宋_GB2312"/>
          <w:color w:val="auto"/>
          <w:sz w:val="28"/>
          <w:szCs w:val="28"/>
        </w:rPr>
        <w:t>（2）我方的投标总报价为人民币（大写）</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 xml:space="preserve"> 元 （￥</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）；交货期限为</w:t>
      </w:r>
      <w:r>
        <w:rPr>
          <w:rFonts w:hint="eastAsia" w:ascii="仿宋_GB2312" w:hAnsi="宋体" w:eastAsia="仿宋_GB2312"/>
          <w:bCs/>
          <w:color w:val="auto"/>
          <w:sz w:val="28"/>
          <w:szCs w:val="28"/>
          <w:u w:val="single"/>
        </w:rPr>
        <w:t xml:space="preserve">       </w:t>
      </w:r>
      <w:r>
        <w:rPr>
          <w:rFonts w:hint="eastAsia" w:ascii="仿宋_GB2312" w:hAnsi="宋体" w:eastAsia="仿宋_GB2312"/>
          <w:bCs/>
          <w:color w:val="auto"/>
          <w:sz w:val="28"/>
          <w:szCs w:val="28"/>
        </w:rPr>
        <w:t>日历天,</w:t>
      </w:r>
      <w:r>
        <w:rPr>
          <w:rFonts w:hint="eastAsia" w:ascii="仿宋_GB2312" w:eastAsia="仿宋_GB2312"/>
          <w:color w:val="auto"/>
          <w:sz w:val="28"/>
          <w:szCs w:val="28"/>
        </w:rPr>
        <w:t xml:space="preserve"> </w:t>
      </w:r>
      <w:r>
        <w:rPr>
          <w:rFonts w:hint="eastAsia" w:ascii="仿宋_GB2312" w:hAnsi="宋体" w:eastAsia="仿宋_GB2312"/>
          <w:color w:val="auto"/>
          <w:sz w:val="28"/>
          <w:szCs w:val="28"/>
        </w:rPr>
        <w:t>投标有效期为</w:t>
      </w:r>
      <w:r>
        <w:rPr>
          <w:rFonts w:hint="eastAsia" w:ascii="仿宋_GB2312" w:eastAsia="仿宋_GB2312"/>
          <w:color w:val="auto"/>
          <w:sz w:val="28"/>
          <w:szCs w:val="28"/>
          <w:lang w:val="zh-CN"/>
        </w:rPr>
        <w:t>投标截止日起90日历</w:t>
      </w:r>
      <w:r>
        <w:rPr>
          <w:rFonts w:hint="eastAsia" w:ascii="仿宋_GB2312" w:eastAsia="仿宋_GB2312"/>
          <w:color w:val="auto"/>
          <w:sz w:val="28"/>
          <w:szCs w:val="28"/>
        </w:rPr>
        <w:t>天。</w:t>
      </w:r>
    </w:p>
    <w:p>
      <w:pPr>
        <w:pStyle w:val="15"/>
        <w:adjustRightInd w:val="0"/>
        <w:snapToGrid w:val="0"/>
        <w:spacing w:line="360" w:lineRule="auto"/>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（3）我方承诺承诺除商务和技术偏差表列出的偏差外，我方响应招标文件的全部要求。</w:t>
      </w:r>
    </w:p>
    <w:p>
      <w:pPr>
        <w:pStyle w:val="15"/>
        <w:adjustRightInd w:val="0"/>
        <w:snapToGrid w:val="0"/>
        <w:spacing w:line="360" w:lineRule="auto"/>
        <w:ind w:firstLine="560" w:firstLineChars="200"/>
        <w:rPr>
          <w:rFonts w:ascii="仿宋_GB2312" w:hAnsi="宋体" w:eastAsia="仿宋_GB2312"/>
          <w:color w:val="auto"/>
          <w:sz w:val="28"/>
          <w:szCs w:val="28"/>
        </w:rPr>
      </w:pPr>
      <w:r>
        <w:rPr>
          <w:rFonts w:hint="eastAsia" w:ascii="仿宋_GB2312" w:hAnsi="宋体" w:eastAsia="仿宋_GB2312"/>
          <w:bCs/>
          <w:color w:val="auto"/>
          <w:sz w:val="28"/>
          <w:szCs w:val="28"/>
        </w:rPr>
        <w:t>（4）</w:t>
      </w:r>
      <w:r>
        <w:rPr>
          <w:rFonts w:hint="eastAsia" w:ascii="仿宋_GB2312" w:hAnsi="宋体" w:eastAsia="仿宋_GB2312"/>
          <w:color w:val="auto"/>
          <w:sz w:val="28"/>
          <w:szCs w:val="28"/>
        </w:rPr>
        <w:t>我方愿意向贵方提供任何与本项采购有关的样品、数据、情况和技术资料。若贵方需要，我方愿意提供我方作出的一切承诺的证明材料。</w:t>
      </w:r>
    </w:p>
    <w:p>
      <w:pPr>
        <w:pStyle w:val="15"/>
        <w:adjustRightInd w:val="0"/>
        <w:snapToGrid w:val="0"/>
        <w:spacing w:line="360" w:lineRule="auto"/>
        <w:ind w:firstLine="560" w:firstLineChars="200"/>
        <w:rPr>
          <w:rFonts w:ascii="仿宋_GB2312" w:hAnsi="宋体" w:eastAsia="仿宋_GB2312"/>
          <w:bCs/>
          <w:color w:val="auto"/>
          <w:sz w:val="28"/>
          <w:szCs w:val="28"/>
        </w:rPr>
      </w:pPr>
      <w:r>
        <w:rPr>
          <w:rFonts w:hint="eastAsia" w:ascii="仿宋_GB2312" w:hAnsi="宋体" w:eastAsia="仿宋_GB2312"/>
          <w:color w:val="auto"/>
          <w:sz w:val="28"/>
          <w:szCs w:val="28"/>
        </w:rPr>
        <w:t>（5）</w:t>
      </w:r>
      <w:r>
        <w:rPr>
          <w:rFonts w:hint="eastAsia" w:ascii="仿宋_GB2312" w:hAnsi="宋体" w:eastAsia="仿宋_GB2312"/>
          <w:bCs/>
          <w:color w:val="auto"/>
          <w:sz w:val="28"/>
          <w:szCs w:val="28"/>
        </w:rPr>
        <w:t>我方承诺在招标文件规定的投标有效期内不撤销投标文件。</w:t>
      </w:r>
    </w:p>
    <w:p>
      <w:pPr>
        <w:pStyle w:val="15"/>
        <w:adjustRightInd w:val="0"/>
        <w:snapToGrid w:val="0"/>
        <w:spacing w:line="360" w:lineRule="auto"/>
        <w:ind w:firstLine="560" w:firstLineChars="200"/>
        <w:rPr>
          <w:rFonts w:ascii="仿宋_GB2312" w:hAnsi="宋体" w:eastAsia="仿宋_GB2312"/>
          <w:color w:val="auto"/>
          <w:sz w:val="28"/>
          <w:szCs w:val="28"/>
        </w:rPr>
      </w:pPr>
      <w:r>
        <w:rPr>
          <w:rFonts w:hint="eastAsia" w:ascii="仿宋_GB2312" w:hAnsi="宋体" w:eastAsia="仿宋_GB2312"/>
          <w:bCs/>
          <w:color w:val="auto"/>
          <w:sz w:val="28"/>
          <w:szCs w:val="28"/>
        </w:rPr>
        <w:t>（6）</w:t>
      </w:r>
      <w:r>
        <w:rPr>
          <w:rFonts w:hint="eastAsia" w:ascii="仿宋_GB2312" w:hAnsi="宋体" w:eastAsia="仿宋_GB2312"/>
          <w:color w:val="auto"/>
          <w:sz w:val="28"/>
          <w:szCs w:val="28"/>
        </w:rPr>
        <w:t>我方承诺遵守《中华人民共和国政府采购法》、《中华人民共和国政府采购法》、《政府采购货物和服务招标投标管理办法》（财政部第87号令）的有关规定，保证在获得中标资格后：</w:t>
      </w:r>
    </w:p>
    <w:p>
      <w:pPr>
        <w:pStyle w:val="15"/>
        <w:adjustRightInd w:val="0"/>
        <w:snapToGrid w:val="0"/>
        <w:spacing w:line="360" w:lineRule="auto"/>
        <w:ind w:firstLine="840" w:firstLineChars="300"/>
        <w:rPr>
          <w:rFonts w:ascii="仿宋_GB2312" w:hAnsi="宋体" w:eastAsia="仿宋_GB2312"/>
          <w:color w:val="auto"/>
          <w:sz w:val="28"/>
          <w:szCs w:val="28"/>
        </w:rPr>
      </w:pPr>
      <w:r>
        <w:rPr>
          <w:rFonts w:hint="eastAsia" w:ascii="仿宋_GB2312" w:hAnsi="宋体" w:eastAsia="仿宋_GB2312"/>
          <w:color w:val="auto"/>
          <w:sz w:val="28"/>
          <w:szCs w:val="28"/>
        </w:rPr>
        <w:t>1）在收到中标通知书后，在中标通知书规定的期限内与采购人签订合同；</w:t>
      </w:r>
    </w:p>
    <w:p>
      <w:pPr>
        <w:pStyle w:val="15"/>
        <w:adjustRightInd w:val="0"/>
        <w:snapToGrid w:val="0"/>
        <w:spacing w:line="360" w:lineRule="auto"/>
        <w:ind w:firstLine="840" w:firstLineChars="300"/>
        <w:rPr>
          <w:rFonts w:ascii="仿宋_GB2312" w:hAnsi="宋体" w:eastAsia="仿宋_GB2312"/>
          <w:color w:val="auto"/>
          <w:sz w:val="28"/>
          <w:szCs w:val="28"/>
        </w:rPr>
      </w:pPr>
      <w:r>
        <w:rPr>
          <w:rFonts w:hint="eastAsia" w:ascii="仿宋_GB2312" w:hAnsi="宋体" w:eastAsia="仿宋_GB2312"/>
          <w:color w:val="auto"/>
          <w:sz w:val="28"/>
          <w:szCs w:val="28"/>
        </w:rPr>
        <w:t>2）在签订合同时不向采购人提出附加条件；</w:t>
      </w:r>
    </w:p>
    <w:p>
      <w:pPr>
        <w:pStyle w:val="15"/>
        <w:adjustRightInd w:val="0"/>
        <w:snapToGrid w:val="0"/>
        <w:spacing w:line="360" w:lineRule="auto"/>
        <w:ind w:firstLine="840" w:firstLineChars="300"/>
        <w:rPr>
          <w:rFonts w:ascii="仿宋_GB2312" w:hAnsi="宋体" w:eastAsia="仿宋_GB2312"/>
          <w:color w:val="auto"/>
          <w:sz w:val="28"/>
          <w:szCs w:val="28"/>
        </w:rPr>
      </w:pPr>
      <w:r>
        <w:rPr>
          <w:rFonts w:hint="eastAsia" w:ascii="仿宋_GB2312" w:hAnsi="宋体" w:eastAsia="仿宋_GB2312"/>
          <w:color w:val="auto"/>
          <w:sz w:val="28"/>
          <w:szCs w:val="28"/>
        </w:rPr>
        <w:t>3）在合同规定期限内完成合同规定的全部义务；</w:t>
      </w:r>
    </w:p>
    <w:p>
      <w:pPr>
        <w:pStyle w:val="15"/>
        <w:adjustRightInd w:val="0"/>
        <w:snapToGrid w:val="0"/>
        <w:spacing w:line="360" w:lineRule="auto"/>
        <w:ind w:firstLine="840" w:firstLineChars="300"/>
        <w:rPr>
          <w:rFonts w:ascii="仿宋_GB2312" w:hAnsi="宋体" w:eastAsia="仿宋_GB2312"/>
          <w:color w:val="auto"/>
          <w:sz w:val="28"/>
          <w:szCs w:val="28"/>
        </w:rPr>
      </w:pPr>
      <w:r>
        <w:rPr>
          <w:rFonts w:hint="eastAsia" w:ascii="仿宋_GB2312" w:hAnsi="宋体" w:eastAsia="仿宋_GB2312"/>
          <w:color w:val="auto"/>
          <w:sz w:val="28"/>
          <w:szCs w:val="28"/>
        </w:rPr>
        <w:t>4）</w:t>
      </w:r>
      <w:r>
        <w:rPr>
          <w:rFonts w:hint="eastAsia" w:ascii="仿宋_GB2312" w:hAnsi="宋体" w:eastAsia="仿宋_GB2312"/>
          <w:bCs/>
          <w:color w:val="auto"/>
          <w:sz w:val="28"/>
          <w:szCs w:val="28"/>
        </w:rPr>
        <w:t>按照招标文件规定和标准向贵方交纳采购代理服务费</w:t>
      </w:r>
      <w:r>
        <w:rPr>
          <w:rFonts w:hint="eastAsia" w:ascii="仿宋_GB2312" w:hAnsi="宋体" w:eastAsia="仿宋_GB2312"/>
          <w:color w:val="auto"/>
          <w:sz w:val="28"/>
          <w:szCs w:val="28"/>
        </w:rPr>
        <w:t>。</w:t>
      </w:r>
    </w:p>
    <w:p>
      <w:pPr>
        <w:pStyle w:val="15"/>
        <w:adjustRightInd w:val="0"/>
        <w:snapToGrid w:val="0"/>
        <w:spacing w:line="360" w:lineRule="auto"/>
        <w:ind w:firstLine="560" w:firstLineChars="200"/>
        <w:rPr>
          <w:rFonts w:ascii="仿宋_GB2312" w:hAnsi="宋体" w:eastAsia="仿宋_GB2312"/>
          <w:bCs/>
          <w:color w:val="auto"/>
          <w:sz w:val="28"/>
          <w:szCs w:val="28"/>
        </w:rPr>
      </w:pPr>
      <w:r>
        <w:rPr>
          <w:rFonts w:hint="eastAsia" w:ascii="仿宋_GB2312" w:hAnsi="宋体" w:eastAsia="仿宋_GB2312"/>
          <w:color w:val="auto"/>
          <w:sz w:val="28"/>
          <w:szCs w:val="28"/>
        </w:rPr>
        <w:t>（7）</w:t>
      </w:r>
      <w:r>
        <w:rPr>
          <w:rFonts w:hint="eastAsia" w:ascii="仿宋_GB2312" w:hAnsi="宋体" w:eastAsia="仿宋_GB2312"/>
          <w:bCs/>
          <w:color w:val="auto"/>
          <w:sz w:val="28"/>
          <w:szCs w:val="28"/>
        </w:rPr>
        <w:t>我方完全理解最低报价不是中标的唯一条件，并尊重评标委员会的评审结论和中标结果。</w:t>
      </w:r>
    </w:p>
    <w:p>
      <w:pPr>
        <w:pStyle w:val="15"/>
        <w:adjustRightInd w:val="0"/>
        <w:snapToGrid w:val="0"/>
        <w:spacing w:line="360" w:lineRule="auto"/>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（8）</w:t>
      </w:r>
      <w:r>
        <w:rPr>
          <w:rFonts w:hint="eastAsia" w:ascii="仿宋_GB2312" w:hAnsi="宋体" w:eastAsia="仿宋_GB2312"/>
          <w:color w:val="auto"/>
          <w:sz w:val="28"/>
          <w:szCs w:val="28"/>
        </w:rPr>
        <w:t>我方在此声明，所递交的投标文件及有关资料内容完整、真实和准确，且不存在第二章“投标人须知”第1.3.2条款规定的任何一种情形。否则，愿承担《中华人民共和国政府采购法》</w:t>
      </w:r>
      <w:r>
        <w:rPr>
          <w:rFonts w:hint="eastAsia" w:ascii="仿宋_GB2312" w:hAnsi="宋体" w:eastAsia="仿宋_GB2312"/>
          <w:bCs/>
          <w:color w:val="auto"/>
          <w:sz w:val="28"/>
          <w:szCs w:val="28"/>
        </w:rPr>
        <w:t>第七十七条规定的法律责任。</w:t>
      </w:r>
    </w:p>
    <w:p>
      <w:pPr>
        <w:pStyle w:val="15"/>
        <w:adjustRightInd w:val="0"/>
        <w:snapToGrid w:val="0"/>
        <w:spacing w:line="360" w:lineRule="auto"/>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（9）其他补充说明：</w:t>
      </w:r>
      <w:r>
        <w:rPr>
          <w:rFonts w:hint="eastAsia" w:ascii="仿宋_GB2312" w:hAnsi="宋体" w:eastAsia="仿宋_GB2312"/>
          <w:bCs/>
          <w:color w:val="auto"/>
          <w:sz w:val="28"/>
          <w:szCs w:val="28"/>
          <w:u w:val="single"/>
        </w:rPr>
        <w:t xml:space="preserve">                                      </w:t>
      </w:r>
      <w:r>
        <w:rPr>
          <w:rFonts w:hint="eastAsia" w:ascii="仿宋_GB2312" w:hAnsi="宋体" w:eastAsia="仿宋_GB2312"/>
          <w:bCs/>
          <w:color w:val="auto"/>
          <w:sz w:val="28"/>
          <w:szCs w:val="28"/>
        </w:rPr>
        <w:t>。</w:t>
      </w:r>
    </w:p>
    <w:p>
      <w:pPr>
        <w:pStyle w:val="15"/>
        <w:adjustRightInd w:val="0"/>
        <w:snapToGrid w:val="0"/>
        <w:spacing w:line="360" w:lineRule="auto"/>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（10）有关本项目的所有函电，请按下列地址联系：</w:t>
      </w:r>
    </w:p>
    <w:p>
      <w:pPr>
        <w:pStyle w:val="16"/>
        <w:spacing w:line="360" w:lineRule="auto"/>
        <w:rPr>
          <w:rFonts w:ascii="仿宋_GB2312" w:hAnsi="宋体" w:eastAsia="仿宋_GB2312"/>
          <w:bCs/>
          <w:color w:val="auto"/>
          <w:sz w:val="28"/>
          <w:szCs w:val="28"/>
        </w:rPr>
      </w:pPr>
    </w:p>
    <w:p>
      <w:pPr>
        <w:pStyle w:val="16"/>
        <w:spacing w:line="360" w:lineRule="auto"/>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投 标 人：</w:t>
      </w:r>
      <w:r>
        <w:rPr>
          <w:rFonts w:hint="eastAsia" w:ascii="仿宋_GB2312" w:hAnsi="宋体" w:eastAsia="仿宋_GB2312"/>
          <w:bCs/>
          <w:color w:val="auto"/>
          <w:sz w:val="28"/>
          <w:szCs w:val="28"/>
          <w:u w:val="single"/>
        </w:rPr>
        <w:t xml:space="preserve">                                 </w:t>
      </w:r>
      <w:r>
        <w:rPr>
          <w:rFonts w:hint="eastAsia" w:ascii="仿宋_GB2312" w:hAnsi="宋体" w:eastAsia="仿宋_GB2312"/>
          <w:bCs/>
          <w:color w:val="auto"/>
          <w:sz w:val="28"/>
          <w:szCs w:val="28"/>
        </w:rPr>
        <w:t>（盖单位公章）</w:t>
      </w:r>
    </w:p>
    <w:p>
      <w:pPr>
        <w:pStyle w:val="16"/>
        <w:spacing w:line="360" w:lineRule="auto"/>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法定代表人或委托代理人：</w:t>
      </w:r>
      <w:r>
        <w:rPr>
          <w:rFonts w:hint="eastAsia" w:ascii="仿宋_GB2312" w:hAnsi="宋体" w:eastAsia="仿宋_GB2312"/>
          <w:bCs/>
          <w:color w:val="auto"/>
          <w:sz w:val="28"/>
          <w:szCs w:val="28"/>
          <w:u w:val="single"/>
        </w:rPr>
        <w:t xml:space="preserve">                    </w:t>
      </w:r>
      <w:r>
        <w:rPr>
          <w:rFonts w:hint="eastAsia" w:ascii="仿宋_GB2312" w:hAnsi="宋体" w:eastAsia="仿宋_GB2312"/>
          <w:bCs/>
          <w:color w:val="auto"/>
          <w:sz w:val="28"/>
          <w:szCs w:val="28"/>
        </w:rPr>
        <w:t>（签字或盖章）</w:t>
      </w:r>
    </w:p>
    <w:p>
      <w:pPr>
        <w:pStyle w:val="16"/>
        <w:spacing w:line="360" w:lineRule="auto"/>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通讯地址：</w:t>
      </w:r>
    </w:p>
    <w:p>
      <w:pPr>
        <w:pStyle w:val="16"/>
        <w:spacing w:line="360" w:lineRule="auto"/>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联系电话：</w:t>
      </w:r>
    </w:p>
    <w:p>
      <w:pPr>
        <w:pStyle w:val="16"/>
        <w:spacing w:line="360" w:lineRule="auto"/>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电子邮件：</w:t>
      </w:r>
    </w:p>
    <w:p>
      <w:pPr>
        <w:pStyle w:val="16"/>
        <w:spacing w:line="360" w:lineRule="auto"/>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开户银行:</w:t>
      </w:r>
    </w:p>
    <w:p>
      <w:pPr>
        <w:pStyle w:val="16"/>
        <w:spacing w:line="360" w:lineRule="auto"/>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帐    号：</w:t>
      </w:r>
    </w:p>
    <w:p>
      <w:pPr>
        <w:pStyle w:val="16"/>
        <w:spacing w:line="360" w:lineRule="auto"/>
        <w:ind w:firstLine="560" w:firstLineChars="200"/>
        <w:rPr>
          <w:rFonts w:ascii="仿宋_GB2312" w:hAnsi="宋体" w:eastAsia="仿宋_GB2312"/>
          <w:bCs/>
          <w:color w:val="auto"/>
          <w:sz w:val="28"/>
          <w:szCs w:val="28"/>
        </w:rPr>
      </w:pPr>
      <w:r>
        <w:rPr>
          <w:rFonts w:hint="eastAsia" w:ascii="仿宋_GB2312" w:hAnsi="宋体" w:eastAsia="仿宋_GB2312"/>
          <w:bCs/>
          <w:color w:val="auto"/>
          <w:sz w:val="28"/>
          <w:szCs w:val="28"/>
        </w:rPr>
        <w:t>日    期：    年   月   日</w:t>
      </w:r>
    </w:p>
    <w:p>
      <w:pPr>
        <w:spacing w:line="400" w:lineRule="exact"/>
        <w:outlineLvl w:val="1"/>
        <w:rPr>
          <w:rFonts w:ascii="仿宋_GB2312" w:hAnsi="宋体" w:eastAsia="仿宋_GB2312"/>
          <w:b/>
          <w:color w:val="auto"/>
          <w:sz w:val="28"/>
          <w:szCs w:val="28"/>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pStyle w:val="2"/>
        <w:rPr>
          <w:color w:val="auto"/>
        </w:rPr>
      </w:pPr>
    </w:p>
    <w:p>
      <w:pPr>
        <w:rPr>
          <w:color w:val="auto"/>
        </w:rPr>
      </w:pPr>
    </w:p>
    <w:p>
      <w:pPr>
        <w:pStyle w:val="2"/>
        <w:rPr>
          <w:color w:val="auto"/>
        </w:rPr>
      </w:pPr>
    </w:p>
    <w:p>
      <w:pPr>
        <w:pStyle w:val="16"/>
        <w:spacing w:beforeLines="100" w:afterLines="100" w:line="360" w:lineRule="auto"/>
        <w:jc w:val="center"/>
        <w:rPr>
          <w:rFonts w:ascii="黑体" w:eastAsia="黑体"/>
          <w:bCs/>
          <w:color w:val="auto"/>
          <w:sz w:val="28"/>
          <w:szCs w:val="28"/>
        </w:rPr>
      </w:pPr>
      <w:r>
        <w:rPr>
          <w:rFonts w:hint="eastAsia" w:ascii="黑体" w:hAnsi="宋体" w:eastAsia="黑体"/>
          <w:color w:val="auto"/>
          <w:sz w:val="36"/>
          <w:szCs w:val="36"/>
        </w:rPr>
        <w:t>2、开标一览表</w:t>
      </w:r>
    </w:p>
    <w:tbl>
      <w:tblPr>
        <w:tblStyle w:val="24"/>
        <w:tblW w:w="9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052"/>
        <w:gridCol w:w="2621"/>
        <w:gridCol w:w="1072"/>
        <w:gridCol w:w="305"/>
        <w:gridCol w:w="1683"/>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781" w:type="dxa"/>
            <w:gridSpan w:val="2"/>
            <w:tcBorders>
              <w:top w:val="single" w:color="auto" w:sz="12" w:space="0"/>
              <w:left w:val="single" w:color="auto" w:sz="12" w:space="0"/>
              <w:bottom w:val="single" w:color="auto" w:sz="4" w:space="0"/>
              <w:right w:val="single" w:color="auto" w:sz="4" w:space="0"/>
            </w:tcBorders>
            <w:vAlign w:val="center"/>
          </w:tcPr>
          <w:p>
            <w:pPr>
              <w:spacing w:line="480" w:lineRule="exact"/>
              <w:jc w:val="center"/>
              <w:rPr>
                <w:rFonts w:ascii="仿宋_GB2312" w:hAnsi="宋体" w:eastAsia="仿宋_GB2312"/>
                <w:bCs/>
                <w:color w:val="auto"/>
                <w:sz w:val="24"/>
              </w:rPr>
            </w:pPr>
            <w:r>
              <w:rPr>
                <w:rFonts w:hint="eastAsia" w:ascii="仿宋_GB2312" w:hAnsi="宋体" w:eastAsia="仿宋_GB2312"/>
                <w:bCs/>
                <w:color w:val="auto"/>
                <w:sz w:val="24"/>
              </w:rPr>
              <w:t>项目名称</w:t>
            </w:r>
          </w:p>
        </w:tc>
        <w:tc>
          <w:tcPr>
            <w:tcW w:w="3998" w:type="dxa"/>
            <w:gridSpan w:val="3"/>
            <w:tcBorders>
              <w:top w:val="single" w:color="auto" w:sz="12" w:space="0"/>
              <w:left w:val="single" w:color="auto" w:sz="4" w:space="0"/>
              <w:bottom w:val="single" w:color="auto" w:sz="4" w:space="0"/>
            </w:tcBorders>
            <w:vAlign w:val="center"/>
          </w:tcPr>
          <w:p>
            <w:pPr>
              <w:spacing w:line="480" w:lineRule="exact"/>
              <w:rPr>
                <w:rFonts w:ascii="仿宋_GB2312" w:hAnsi="宋体" w:eastAsia="仿宋_GB2312"/>
                <w:bCs/>
                <w:color w:val="auto"/>
                <w:sz w:val="24"/>
              </w:rPr>
            </w:pPr>
          </w:p>
        </w:tc>
        <w:tc>
          <w:tcPr>
            <w:tcW w:w="1683" w:type="dxa"/>
            <w:tcBorders>
              <w:top w:val="single" w:color="auto" w:sz="12" w:space="0"/>
              <w:bottom w:val="single" w:color="auto" w:sz="4" w:space="0"/>
              <w:right w:val="single" w:color="auto" w:sz="4" w:space="0"/>
            </w:tcBorders>
            <w:vAlign w:val="center"/>
          </w:tcPr>
          <w:p>
            <w:pPr>
              <w:spacing w:line="480" w:lineRule="exact"/>
              <w:jc w:val="center"/>
              <w:rPr>
                <w:rFonts w:ascii="仿宋_GB2312" w:hAnsi="宋体" w:eastAsia="仿宋_GB2312"/>
                <w:bCs/>
                <w:color w:val="auto"/>
                <w:sz w:val="24"/>
              </w:rPr>
            </w:pPr>
            <w:r>
              <w:rPr>
                <w:rFonts w:hint="eastAsia" w:ascii="仿宋_GB2312" w:hAnsi="宋体" w:eastAsia="仿宋_GB2312"/>
                <w:bCs/>
                <w:color w:val="auto"/>
                <w:sz w:val="24"/>
              </w:rPr>
              <w:t>项目编号</w:t>
            </w:r>
          </w:p>
        </w:tc>
        <w:tc>
          <w:tcPr>
            <w:tcW w:w="2297" w:type="dxa"/>
            <w:tcBorders>
              <w:top w:val="single" w:color="auto" w:sz="12" w:space="0"/>
              <w:left w:val="single" w:color="auto" w:sz="4" w:space="0"/>
              <w:bottom w:val="single" w:color="auto" w:sz="4" w:space="0"/>
              <w:right w:val="single" w:color="auto" w:sz="12" w:space="0"/>
            </w:tcBorders>
            <w:vAlign w:val="center"/>
          </w:tcPr>
          <w:p>
            <w:pPr>
              <w:spacing w:line="480" w:lineRule="exact"/>
              <w:jc w:val="center"/>
              <w:rPr>
                <w:rFonts w:ascii="仿宋_GB2312" w:hAnsi="宋体" w:eastAsia="仿宋_GB2312"/>
                <w:bCs/>
                <w:color w:val="auto"/>
                <w:sz w:val="24"/>
              </w:rPr>
            </w:pPr>
            <w:r>
              <w:rPr>
                <w:rFonts w:hint="eastAsia" w:ascii="仿宋_GB2312" w:hAnsi="宋体" w:eastAsia="仿宋_GB2312"/>
                <w:bCs/>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402" w:type="dxa"/>
            <w:gridSpan w:val="3"/>
            <w:tcBorders>
              <w:left w:val="single" w:color="auto" w:sz="12" w:space="0"/>
            </w:tcBorders>
            <w:vAlign w:val="center"/>
          </w:tcPr>
          <w:p>
            <w:pPr>
              <w:spacing w:line="480" w:lineRule="exact"/>
              <w:jc w:val="center"/>
              <w:rPr>
                <w:rFonts w:ascii="仿宋_GB2312" w:hAnsi="宋体" w:eastAsia="仿宋_GB2312"/>
                <w:bCs/>
                <w:color w:val="auto"/>
                <w:sz w:val="24"/>
              </w:rPr>
            </w:pPr>
            <w:r>
              <w:rPr>
                <w:rFonts w:hint="eastAsia" w:ascii="仿宋_GB2312" w:hAnsi="宋体" w:eastAsia="仿宋_GB2312"/>
                <w:bCs/>
                <w:color w:val="auto"/>
                <w:sz w:val="24"/>
              </w:rPr>
              <w:t>报价内容</w:t>
            </w:r>
          </w:p>
        </w:tc>
        <w:tc>
          <w:tcPr>
            <w:tcW w:w="1072" w:type="dxa"/>
            <w:tcBorders>
              <w:right w:val="single" w:color="auto" w:sz="4" w:space="0"/>
            </w:tcBorders>
            <w:vAlign w:val="center"/>
          </w:tcPr>
          <w:p>
            <w:pPr>
              <w:spacing w:line="480" w:lineRule="exact"/>
              <w:jc w:val="center"/>
              <w:rPr>
                <w:rFonts w:ascii="仿宋_GB2312" w:hAnsi="宋体" w:eastAsia="仿宋_GB2312"/>
                <w:bCs/>
                <w:color w:val="auto"/>
                <w:sz w:val="24"/>
              </w:rPr>
            </w:pPr>
            <w:r>
              <w:rPr>
                <w:rFonts w:hint="eastAsia" w:ascii="仿宋_GB2312" w:hAnsi="宋体" w:eastAsia="仿宋_GB2312"/>
                <w:bCs/>
                <w:color w:val="auto"/>
                <w:sz w:val="24"/>
              </w:rPr>
              <w:t>单位</w:t>
            </w:r>
          </w:p>
        </w:tc>
        <w:tc>
          <w:tcPr>
            <w:tcW w:w="4285" w:type="dxa"/>
            <w:gridSpan w:val="3"/>
            <w:tcBorders>
              <w:left w:val="single" w:color="auto" w:sz="4" w:space="0"/>
              <w:right w:val="single" w:color="auto" w:sz="12" w:space="0"/>
            </w:tcBorders>
            <w:vAlign w:val="center"/>
          </w:tcPr>
          <w:p>
            <w:pPr>
              <w:spacing w:line="480" w:lineRule="exact"/>
              <w:jc w:val="center"/>
              <w:rPr>
                <w:rFonts w:ascii="仿宋_GB2312" w:hAnsi="宋体" w:eastAsia="仿宋_GB2312"/>
                <w:bCs/>
                <w:color w:val="auto"/>
                <w:sz w:val="24"/>
              </w:rPr>
            </w:pPr>
            <w:r>
              <w:rPr>
                <w:rFonts w:hint="eastAsia" w:ascii="仿宋_GB2312" w:hAnsi="宋体" w:eastAsia="仿宋_GB2312"/>
                <w:bCs/>
                <w:color w:val="auto"/>
                <w:sz w:val="24"/>
              </w:rPr>
              <w:t>币种：人民币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729" w:type="dxa"/>
            <w:vMerge w:val="restart"/>
            <w:tcBorders>
              <w:left w:val="single" w:color="auto" w:sz="12" w:space="0"/>
            </w:tcBorders>
            <w:vAlign w:val="center"/>
          </w:tcPr>
          <w:p>
            <w:pPr>
              <w:spacing w:line="480" w:lineRule="exact"/>
              <w:jc w:val="center"/>
              <w:rPr>
                <w:rFonts w:ascii="仿宋_GB2312" w:hAnsi="宋体" w:eastAsia="仿宋_GB2312" w:cs="宋体"/>
                <w:color w:val="auto"/>
                <w:sz w:val="24"/>
                <w:lang w:val="zh-CN"/>
              </w:rPr>
            </w:pPr>
            <w:r>
              <w:rPr>
                <w:rFonts w:hint="eastAsia" w:ascii="仿宋_GB2312" w:hAnsi="宋体" w:eastAsia="仿宋_GB2312" w:cs="宋体"/>
                <w:color w:val="auto"/>
                <w:sz w:val="24"/>
                <w:lang w:val="zh-CN"/>
              </w:rPr>
              <w:t>1</w:t>
            </w:r>
          </w:p>
        </w:tc>
        <w:tc>
          <w:tcPr>
            <w:tcW w:w="3673" w:type="dxa"/>
            <w:gridSpan w:val="2"/>
            <w:vMerge w:val="restart"/>
            <w:tcBorders>
              <w:left w:val="single" w:color="auto" w:sz="4" w:space="0"/>
            </w:tcBorders>
            <w:vAlign w:val="center"/>
          </w:tcPr>
          <w:p>
            <w:pPr>
              <w:spacing w:line="480" w:lineRule="exact"/>
              <w:rPr>
                <w:rFonts w:ascii="仿宋_GB2312" w:hAnsi="宋体" w:eastAsia="仿宋_GB2312" w:cs="宋体"/>
                <w:color w:val="auto"/>
                <w:sz w:val="24"/>
                <w:lang w:val="zh-CN"/>
              </w:rPr>
            </w:pPr>
            <w:r>
              <w:rPr>
                <w:rFonts w:hint="eastAsia" w:ascii="仿宋_GB2312" w:hAnsi="宋体" w:eastAsia="仿宋_GB2312" w:cs="宋体"/>
                <w:color w:val="auto"/>
                <w:sz w:val="24"/>
                <w:lang w:val="zh-CN"/>
              </w:rPr>
              <w:t>投标总报价</w:t>
            </w:r>
          </w:p>
        </w:tc>
        <w:tc>
          <w:tcPr>
            <w:tcW w:w="1072" w:type="dxa"/>
            <w:vMerge w:val="restart"/>
            <w:tcBorders>
              <w:right w:val="single" w:color="auto" w:sz="4" w:space="0"/>
            </w:tcBorders>
            <w:vAlign w:val="center"/>
          </w:tcPr>
          <w:p>
            <w:pPr>
              <w:spacing w:line="480" w:lineRule="exact"/>
              <w:jc w:val="center"/>
              <w:rPr>
                <w:rFonts w:ascii="仿宋_GB2312" w:hAnsi="宋体" w:eastAsia="仿宋_GB2312"/>
                <w:bCs/>
                <w:color w:val="auto"/>
                <w:sz w:val="24"/>
              </w:rPr>
            </w:pPr>
            <w:r>
              <w:rPr>
                <w:rFonts w:hint="eastAsia" w:ascii="仿宋_GB2312" w:hAnsi="宋体" w:eastAsia="仿宋_GB2312"/>
                <w:bCs/>
                <w:color w:val="auto"/>
                <w:sz w:val="24"/>
              </w:rPr>
              <w:t>元</w:t>
            </w:r>
          </w:p>
        </w:tc>
        <w:tc>
          <w:tcPr>
            <w:tcW w:w="4285" w:type="dxa"/>
            <w:gridSpan w:val="3"/>
            <w:tcBorders>
              <w:left w:val="single" w:color="auto" w:sz="4" w:space="0"/>
              <w:right w:val="single" w:color="auto" w:sz="12" w:space="0"/>
            </w:tcBorders>
            <w:vAlign w:val="center"/>
          </w:tcPr>
          <w:p>
            <w:pPr>
              <w:spacing w:line="480" w:lineRule="exact"/>
              <w:rPr>
                <w:rFonts w:ascii="仿宋_GB2312" w:hAnsi="宋体" w:eastAsia="仿宋_GB2312"/>
                <w:bCs/>
                <w:color w:val="auto"/>
                <w:sz w:val="24"/>
              </w:rPr>
            </w:pPr>
            <w:r>
              <w:rPr>
                <w:rFonts w:hint="eastAsia" w:ascii="仿宋_GB2312" w:hAnsi="宋体" w:eastAsia="仿宋_GB2312"/>
                <w:bCs/>
                <w:color w:val="auto"/>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29" w:type="dxa"/>
            <w:vMerge w:val="continue"/>
            <w:tcBorders>
              <w:left w:val="single" w:color="auto" w:sz="12" w:space="0"/>
            </w:tcBorders>
            <w:vAlign w:val="center"/>
          </w:tcPr>
          <w:p>
            <w:pPr>
              <w:spacing w:line="480" w:lineRule="exact"/>
              <w:jc w:val="center"/>
              <w:rPr>
                <w:rFonts w:ascii="仿宋_GB2312" w:hAnsi="宋体" w:eastAsia="仿宋_GB2312" w:cs="宋体"/>
                <w:color w:val="auto"/>
                <w:sz w:val="24"/>
                <w:lang w:val="zh-CN"/>
              </w:rPr>
            </w:pPr>
          </w:p>
        </w:tc>
        <w:tc>
          <w:tcPr>
            <w:tcW w:w="3673" w:type="dxa"/>
            <w:gridSpan w:val="2"/>
            <w:vMerge w:val="continue"/>
            <w:tcBorders>
              <w:left w:val="single" w:color="auto" w:sz="4" w:space="0"/>
            </w:tcBorders>
            <w:vAlign w:val="center"/>
          </w:tcPr>
          <w:p>
            <w:pPr>
              <w:spacing w:line="480" w:lineRule="exact"/>
              <w:rPr>
                <w:rFonts w:ascii="仿宋_GB2312" w:hAnsi="宋体" w:eastAsia="仿宋_GB2312" w:cs="宋体"/>
                <w:color w:val="auto"/>
                <w:sz w:val="24"/>
                <w:lang w:val="zh-CN"/>
              </w:rPr>
            </w:pPr>
          </w:p>
        </w:tc>
        <w:tc>
          <w:tcPr>
            <w:tcW w:w="1072" w:type="dxa"/>
            <w:vMerge w:val="continue"/>
            <w:tcBorders>
              <w:right w:val="single" w:color="auto" w:sz="4" w:space="0"/>
            </w:tcBorders>
            <w:vAlign w:val="center"/>
          </w:tcPr>
          <w:p>
            <w:pPr>
              <w:spacing w:line="480" w:lineRule="exact"/>
              <w:jc w:val="center"/>
              <w:rPr>
                <w:rFonts w:ascii="仿宋_GB2312" w:hAnsi="宋体" w:eastAsia="仿宋_GB2312"/>
                <w:bCs/>
                <w:color w:val="auto"/>
                <w:sz w:val="24"/>
              </w:rPr>
            </w:pPr>
          </w:p>
        </w:tc>
        <w:tc>
          <w:tcPr>
            <w:tcW w:w="4285" w:type="dxa"/>
            <w:gridSpan w:val="3"/>
            <w:tcBorders>
              <w:left w:val="single" w:color="auto" w:sz="4" w:space="0"/>
              <w:right w:val="single" w:color="auto" w:sz="12" w:space="0"/>
            </w:tcBorders>
            <w:vAlign w:val="center"/>
          </w:tcPr>
          <w:p>
            <w:pPr>
              <w:spacing w:line="480" w:lineRule="exact"/>
              <w:rPr>
                <w:rFonts w:ascii="仿宋_GB2312" w:hAnsi="宋体" w:eastAsia="仿宋_GB2312"/>
                <w:bCs/>
                <w:color w:val="auto"/>
                <w:sz w:val="24"/>
              </w:rPr>
            </w:pPr>
            <w:r>
              <w:rPr>
                <w:rFonts w:hint="eastAsia" w:ascii="仿宋_GB2312" w:hAnsi="宋体" w:eastAsia="仿宋_GB2312"/>
                <w:bCs/>
                <w:color w:val="auto"/>
                <w:sz w:val="24"/>
              </w:rPr>
              <w:t>小写：</w:t>
            </w:r>
            <w:r>
              <w:rPr>
                <w:rFonts w:hint="eastAsia" w:ascii="宋体" w:hAnsi="宋体" w:eastAsia="仿宋_GB2312"/>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29" w:type="dxa"/>
            <w:tcBorders>
              <w:left w:val="single" w:color="auto" w:sz="12" w:space="0"/>
              <w:right w:val="single" w:color="auto" w:sz="4" w:space="0"/>
            </w:tcBorders>
            <w:vAlign w:val="center"/>
          </w:tcPr>
          <w:p>
            <w:pPr>
              <w:spacing w:line="480" w:lineRule="exact"/>
              <w:jc w:val="center"/>
              <w:rPr>
                <w:rFonts w:ascii="仿宋_GB2312" w:hAnsi="宋体" w:eastAsia="仿宋_GB2312"/>
                <w:bCs/>
                <w:color w:val="auto"/>
                <w:sz w:val="24"/>
              </w:rPr>
            </w:pPr>
            <w:r>
              <w:rPr>
                <w:rFonts w:hint="eastAsia" w:ascii="仿宋_GB2312" w:hAnsi="宋体" w:eastAsia="仿宋_GB2312"/>
                <w:bCs/>
                <w:color w:val="auto"/>
                <w:sz w:val="24"/>
              </w:rPr>
              <w:t>2</w:t>
            </w:r>
          </w:p>
        </w:tc>
        <w:tc>
          <w:tcPr>
            <w:tcW w:w="3673" w:type="dxa"/>
            <w:gridSpan w:val="2"/>
            <w:tcBorders>
              <w:left w:val="single" w:color="auto" w:sz="4" w:space="0"/>
            </w:tcBorders>
            <w:vAlign w:val="center"/>
          </w:tcPr>
          <w:p>
            <w:pPr>
              <w:spacing w:line="480" w:lineRule="exact"/>
              <w:rPr>
                <w:rFonts w:ascii="仿宋_GB2312" w:hAnsi="宋体" w:eastAsia="仿宋_GB2312"/>
                <w:bCs/>
                <w:color w:val="auto"/>
                <w:sz w:val="24"/>
              </w:rPr>
            </w:pPr>
            <w:r>
              <w:rPr>
                <w:rFonts w:hint="eastAsia" w:ascii="仿宋_GB2312" w:hAnsi="宋体" w:eastAsia="仿宋_GB2312"/>
                <w:bCs/>
                <w:color w:val="auto"/>
                <w:sz w:val="24"/>
              </w:rPr>
              <w:t>交货期</w:t>
            </w:r>
          </w:p>
        </w:tc>
        <w:tc>
          <w:tcPr>
            <w:tcW w:w="5357" w:type="dxa"/>
            <w:gridSpan w:val="4"/>
            <w:tcBorders>
              <w:right w:val="single" w:color="auto" w:sz="12" w:space="0"/>
            </w:tcBorders>
            <w:vAlign w:val="center"/>
          </w:tcPr>
          <w:p>
            <w:pPr>
              <w:spacing w:line="480" w:lineRule="exact"/>
              <w:rPr>
                <w:rFonts w:ascii="仿宋_GB2312" w:hAnsi="宋体" w:eastAsia="仿宋_GB2312"/>
                <w:bCs/>
                <w:color w:val="auto"/>
                <w:sz w:val="24"/>
              </w:rPr>
            </w:pPr>
            <w:r>
              <w:rPr>
                <w:rFonts w:hint="eastAsia" w:ascii="仿宋_GB2312" w:hAnsi="宋体" w:eastAsia="仿宋_GB2312"/>
                <w:bCs/>
                <w:color w:val="auto"/>
                <w:sz w:val="24"/>
              </w:rPr>
              <w:t>交货期为</w:t>
            </w:r>
            <w:r>
              <w:rPr>
                <w:rFonts w:hint="eastAsia" w:ascii="仿宋_GB2312" w:hAnsi="宋体" w:eastAsia="仿宋_GB2312"/>
                <w:bCs/>
                <w:color w:val="auto"/>
                <w:sz w:val="24"/>
                <w:u w:val="single"/>
              </w:rPr>
              <w:t xml:space="preserve">        </w:t>
            </w:r>
            <w:r>
              <w:rPr>
                <w:rFonts w:hint="eastAsia" w:ascii="仿宋_GB2312" w:hAnsi="宋体" w:eastAsia="仿宋_GB2312"/>
                <w:bCs/>
                <w:color w:val="auto"/>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29" w:type="dxa"/>
            <w:tcBorders>
              <w:left w:val="single" w:color="auto" w:sz="12" w:space="0"/>
              <w:right w:val="single" w:color="auto" w:sz="4" w:space="0"/>
            </w:tcBorders>
            <w:vAlign w:val="center"/>
          </w:tcPr>
          <w:p>
            <w:pPr>
              <w:spacing w:line="480" w:lineRule="exact"/>
              <w:jc w:val="center"/>
              <w:rPr>
                <w:rFonts w:ascii="仿宋_GB2312" w:hAnsi="宋体" w:eastAsia="仿宋_GB2312"/>
                <w:bCs/>
                <w:color w:val="auto"/>
                <w:sz w:val="24"/>
              </w:rPr>
            </w:pPr>
            <w:r>
              <w:rPr>
                <w:rFonts w:hint="eastAsia" w:ascii="仿宋_GB2312" w:hAnsi="宋体" w:eastAsia="仿宋_GB2312"/>
                <w:bCs/>
                <w:color w:val="auto"/>
                <w:sz w:val="24"/>
              </w:rPr>
              <w:t>3</w:t>
            </w:r>
          </w:p>
        </w:tc>
        <w:tc>
          <w:tcPr>
            <w:tcW w:w="3673" w:type="dxa"/>
            <w:gridSpan w:val="2"/>
            <w:tcBorders>
              <w:left w:val="single" w:color="auto" w:sz="4" w:space="0"/>
            </w:tcBorders>
            <w:vAlign w:val="center"/>
          </w:tcPr>
          <w:p>
            <w:pPr>
              <w:spacing w:line="480" w:lineRule="exact"/>
              <w:rPr>
                <w:rFonts w:ascii="仿宋_GB2312" w:hAnsi="宋体" w:eastAsia="仿宋_GB2312"/>
                <w:bCs/>
                <w:color w:val="auto"/>
                <w:sz w:val="24"/>
              </w:rPr>
            </w:pPr>
            <w:r>
              <w:rPr>
                <w:rFonts w:hint="eastAsia" w:ascii="仿宋_GB2312" w:hAnsi="宋体" w:eastAsia="仿宋_GB2312"/>
                <w:bCs/>
                <w:color w:val="auto"/>
                <w:sz w:val="24"/>
              </w:rPr>
              <w:t>质保期</w:t>
            </w:r>
          </w:p>
        </w:tc>
        <w:tc>
          <w:tcPr>
            <w:tcW w:w="5357" w:type="dxa"/>
            <w:gridSpan w:val="4"/>
            <w:tcBorders>
              <w:right w:val="single" w:color="auto" w:sz="12" w:space="0"/>
            </w:tcBorders>
            <w:vAlign w:val="center"/>
          </w:tcPr>
          <w:p>
            <w:pPr>
              <w:spacing w:line="480" w:lineRule="exact"/>
              <w:rPr>
                <w:rFonts w:ascii="仿宋_GB2312" w:hAnsi="宋体" w:eastAsia="仿宋_GB2312"/>
                <w:bCs/>
                <w:color w:val="auto"/>
                <w:sz w:val="24"/>
              </w:rPr>
            </w:pPr>
            <w:r>
              <w:rPr>
                <w:rFonts w:hint="eastAsia" w:ascii="仿宋_GB2312" w:hAnsi="宋体" w:eastAsia="仿宋_GB2312"/>
                <w:bCs/>
                <w:color w:val="auto"/>
                <w:sz w:val="24"/>
              </w:rPr>
              <w:t>全部货物质保期为</w:t>
            </w:r>
            <w:r>
              <w:rPr>
                <w:rFonts w:hint="eastAsia" w:ascii="仿宋_GB2312" w:hAnsi="宋体" w:eastAsia="仿宋_GB2312"/>
                <w:bCs/>
                <w:color w:val="auto"/>
                <w:sz w:val="24"/>
                <w:u w:val="single"/>
              </w:rPr>
              <w:t xml:space="preserve">        </w:t>
            </w:r>
            <w:r>
              <w:rPr>
                <w:rFonts w:hint="eastAsia" w:ascii="仿宋_GB2312" w:hAnsi="宋体" w:eastAsia="仿宋_GB2312"/>
                <w:bCs/>
                <w:color w:val="auto"/>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729" w:type="dxa"/>
            <w:tcBorders>
              <w:left w:val="single" w:color="auto" w:sz="12" w:space="0"/>
              <w:bottom w:val="single" w:color="auto" w:sz="4" w:space="0"/>
              <w:right w:val="single" w:color="auto" w:sz="4" w:space="0"/>
            </w:tcBorders>
            <w:vAlign w:val="center"/>
          </w:tcPr>
          <w:p>
            <w:pPr>
              <w:spacing w:line="480" w:lineRule="exact"/>
              <w:jc w:val="center"/>
              <w:rPr>
                <w:rFonts w:hint="eastAsia" w:ascii="仿宋_GB2312" w:hAnsi="宋体" w:eastAsia="仿宋_GB2312"/>
                <w:bCs/>
                <w:color w:val="auto"/>
                <w:sz w:val="24"/>
              </w:rPr>
            </w:pPr>
            <w:r>
              <w:rPr>
                <w:rFonts w:hint="eastAsia" w:ascii="仿宋_GB2312" w:hAnsi="宋体" w:eastAsia="仿宋_GB2312"/>
                <w:bCs/>
                <w:color w:val="auto"/>
                <w:sz w:val="24"/>
              </w:rPr>
              <w:t>4</w:t>
            </w:r>
          </w:p>
        </w:tc>
        <w:tc>
          <w:tcPr>
            <w:tcW w:w="3673" w:type="dxa"/>
            <w:gridSpan w:val="2"/>
            <w:tcBorders>
              <w:left w:val="single" w:color="auto" w:sz="4" w:space="0"/>
              <w:bottom w:val="single" w:color="auto" w:sz="4" w:space="0"/>
            </w:tcBorders>
            <w:vAlign w:val="center"/>
          </w:tcPr>
          <w:p>
            <w:pPr>
              <w:spacing w:line="480" w:lineRule="exact"/>
              <w:rPr>
                <w:rFonts w:hint="eastAsia" w:ascii="仿宋_GB2312" w:hAnsi="宋体" w:eastAsia="仿宋_GB2312"/>
                <w:bCs/>
                <w:color w:val="auto"/>
                <w:sz w:val="24"/>
              </w:rPr>
            </w:pPr>
            <w:r>
              <w:rPr>
                <w:rFonts w:hint="eastAsia" w:ascii="仿宋_GB2312" w:hAnsi="宋体" w:eastAsia="仿宋_GB2312"/>
                <w:bCs/>
                <w:color w:val="auto"/>
                <w:sz w:val="24"/>
              </w:rPr>
              <w:t>交货地点</w:t>
            </w:r>
          </w:p>
        </w:tc>
        <w:tc>
          <w:tcPr>
            <w:tcW w:w="5357" w:type="dxa"/>
            <w:gridSpan w:val="4"/>
            <w:tcBorders>
              <w:bottom w:val="single" w:color="auto" w:sz="4" w:space="0"/>
              <w:right w:val="single" w:color="auto" w:sz="12" w:space="0"/>
            </w:tcBorders>
            <w:vAlign w:val="center"/>
          </w:tcPr>
          <w:p>
            <w:pPr>
              <w:spacing w:line="480" w:lineRule="exact"/>
              <w:jc w:val="center"/>
              <w:rPr>
                <w:rFonts w:ascii="仿宋_GB2312" w:hAnsi="宋体" w:eastAsia="仿宋_GB2312"/>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729" w:type="dxa"/>
            <w:tcBorders>
              <w:left w:val="single" w:color="auto" w:sz="12" w:space="0"/>
              <w:bottom w:val="single" w:color="auto" w:sz="12" w:space="0"/>
              <w:right w:val="single" w:color="auto" w:sz="4" w:space="0"/>
            </w:tcBorders>
            <w:vAlign w:val="center"/>
          </w:tcPr>
          <w:p>
            <w:pPr>
              <w:spacing w:line="480" w:lineRule="exact"/>
              <w:jc w:val="center"/>
              <w:rPr>
                <w:rFonts w:ascii="仿宋_GB2312" w:hAnsi="宋体" w:eastAsia="仿宋_GB2312"/>
                <w:bCs/>
                <w:color w:val="auto"/>
                <w:sz w:val="24"/>
              </w:rPr>
            </w:pPr>
            <w:r>
              <w:rPr>
                <w:rFonts w:hint="eastAsia" w:ascii="仿宋_GB2312" w:hAnsi="宋体" w:eastAsia="仿宋_GB2312"/>
                <w:bCs/>
                <w:color w:val="auto"/>
                <w:sz w:val="24"/>
              </w:rPr>
              <w:t>5</w:t>
            </w:r>
          </w:p>
        </w:tc>
        <w:tc>
          <w:tcPr>
            <w:tcW w:w="3673" w:type="dxa"/>
            <w:gridSpan w:val="2"/>
            <w:tcBorders>
              <w:left w:val="single" w:color="auto" w:sz="4" w:space="0"/>
              <w:bottom w:val="single" w:color="auto" w:sz="12" w:space="0"/>
            </w:tcBorders>
            <w:vAlign w:val="center"/>
          </w:tcPr>
          <w:p>
            <w:pPr>
              <w:spacing w:line="480" w:lineRule="exact"/>
              <w:rPr>
                <w:rFonts w:ascii="仿宋_GB2312" w:hAnsi="宋体" w:eastAsia="仿宋_GB2312"/>
                <w:bCs/>
                <w:color w:val="auto"/>
                <w:sz w:val="24"/>
              </w:rPr>
            </w:pPr>
            <w:r>
              <w:rPr>
                <w:rFonts w:hint="eastAsia" w:ascii="仿宋_GB2312" w:hAnsi="宋体" w:eastAsia="仿宋_GB2312"/>
                <w:bCs/>
                <w:color w:val="auto"/>
                <w:sz w:val="24"/>
              </w:rPr>
              <w:t>其他需说明事项（如果有的话）</w:t>
            </w:r>
          </w:p>
        </w:tc>
        <w:tc>
          <w:tcPr>
            <w:tcW w:w="5357" w:type="dxa"/>
            <w:gridSpan w:val="4"/>
            <w:tcBorders>
              <w:bottom w:val="single" w:color="auto" w:sz="12" w:space="0"/>
              <w:right w:val="single" w:color="auto" w:sz="12" w:space="0"/>
            </w:tcBorders>
            <w:vAlign w:val="center"/>
          </w:tcPr>
          <w:p>
            <w:pPr>
              <w:spacing w:line="480" w:lineRule="exact"/>
              <w:jc w:val="center"/>
              <w:rPr>
                <w:rFonts w:ascii="仿宋_GB2312" w:hAnsi="宋体" w:eastAsia="仿宋_GB2312"/>
                <w:bCs/>
                <w:color w:val="auto"/>
                <w:sz w:val="24"/>
              </w:rPr>
            </w:pPr>
          </w:p>
        </w:tc>
      </w:tr>
    </w:tbl>
    <w:p>
      <w:pPr>
        <w:snapToGrid w:val="0"/>
        <w:spacing w:line="640" w:lineRule="exact"/>
        <w:ind w:firstLine="440" w:firstLineChars="200"/>
        <w:rPr>
          <w:rFonts w:ascii="仿宋_GB2312" w:hAnsi="宋体" w:eastAsia="仿宋_GB2312" w:cs="宋体"/>
          <w:color w:val="auto"/>
          <w:sz w:val="22"/>
          <w:szCs w:val="22"/>
        </w:rPr>
      </w:pPr>
    </w:p>
    <w:p>
      <w:pPr>
        <w:snapToGrid w:val="0"/>
        <w:spacing w:line="640" w:lineRule="exact"/>
        <w:ind w:firstLine="560" w:firstLineChars="200"/>
        <w:rPr>
          <w:rFonts w:ascii="仿宋_GB2312" w:hAnsi="宋体" w:eastAsia="仿宋_GB2312" w:cs="宋体"/>
          <w:color w:val="auto"/>
          <w:sz w:val="28"/>
          <w:szCs w:val="28"/>
        </w:rPr>
      </w:pPr>
      <w:r>
        <w:rPr>
          <w:rFonts w:hint="eastAsia" w:ascii="仿宋_GB2312" w:hAnsi="宋体" w:eastAsia="仿宋_GB2312" w:cs="宋体"/>
          <w:color w:val="auto"/>
          <w:sz w:val="28"/>
          <w:szCs w:val="28"/>
        </w:rPr>
        <w:t xml:space="preserve">  投标人（全称）：</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（公章）</w:t>
      </w:r>
    </w:p>
    <w:p>
      <w:pPr>
        <w:snapToGrid w:val="0"/>
        <w:spacing w:line="640" w:lineRule="exact"/>
        <w:ind w:firstLine="851" w:firstLineChars="304"/>
        <w:rPr>
          <w:rFonts w:ascii="仿宋_GB2312" w:hAnsi="宋体" w:eastAsia="仿宋_GB2312" w:cs="宋体"/>
          <w:color w:val="auto"/>
          <w:sz w:val="28"/>
          <w:szCs w:val="28"/>
        </w:rPr>
      </w:pPr>
      <w:r>
        <w:rPr>
          <w:rFonts w:hint="eastAsia" w:ascii="仿宋_GB2312" w:hAnsi="宋体" w:eastAsia="仿宋_GB2312" w:cs="宋体"/>
          <w:color w:val="auto"/>
          <w:sz w:val="28"/>
          <w:szCs w:val="28"/>
        </w:rPr>
        <w:t xml:space="preserve">法定代表人或其授权委托人：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（签字或盖章）</w:t>
      </w:r>
    </w:p>
    <w:p>
      <w:pPr>
        <w:autoSpaceDE w:val="0"/>
        <w:autoSpaceDN w:val="0"/>
        <w:adjustRightInd w:val="0"/>
        <w:spacing w:line="560" w:lineRule="exact"/>
        <w:ind w:firstLine="840" w:firstLineChars="300"/>
        <w:rPr>
          <w:rFonts w:ascii="仿宋_GB2312" w:hAnsi="宋体" w:eastAsia="仿宋_GB2312"/>
          <w:color w:val="auto"/>
          <w:sz w:val="28"/>
          <w:szCs w:val="28"/>
        </w:rPr>
      </w:pPr>
      <w:r>
        <w:rPr>
          <w:rFonts w:hint="eastAsia" w:ascii="仿宋_GB2312" w:eastAsia="仿宋_GB2312"/>
          <w:color w:val="auto"/>
          <w:sz w:val="28"/>
          <w:szCs w:val="28"/>
        </w:rPr>
        <w:t>日      期：</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年</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月</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日</w:t>
      </w: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rPr>
          <w:color w:val="auto"/>
        </w:rPr>
      </w:pPr>
    </w:p>
    <w:p>
      <w:pPr>
        <w:pStyle w:val="16"/>
        <w:spacing w:beforeLines="100" w:afterLines="100" w:line="360" w:lineRule="auto"/>
        <w:jc w:val="center"/>
        <w:rPr>
          <w:rFonts w:ascii="黑体" w:hAnsi="宋体" w:eastAsia="黑体"/>
          <w:color w:val="auto"/>
          <w:sz w:val="36"/>
          <w:szCs w:val="36"/>
        </w:rPr>
        <w:sectPr>
          <w:pgSz w:w="11906" w:h="16838"/>
          <w:pgMar w:top="1440" w:right="1080" w:bottom="1440" w:left="1080" w:header="851" w:footer="992" w:gutter="0"/>
          <w:cols w:space="720" w:num="1"/>
          <w:docGrid w:linePitch="312" w:charSpace="0"/>
        </w:sectPr>
      </w:pPr>
    </w:p>
    <w:p>
      <w:pPr>
        <w:pStyle w:val="16"/>
        <w:spacing w:beforeLines="100" w:afterLines="100" w:line="360" w:lineRule="auto"/>
        <w:jc w:val="center"/>
        <w:rPr>
          <w:rFonts w:ascii="黑体" w:hAnsi="宋体" w:eastAsia="黑体"/>
          <w:color w:val="auto"/>
          <w:sz w:val="36"/>
          <w:szCs w:val="36"/>
        </w:rPr>
      </w:pPr>
      <w:r>
        <w:rPr>
          <w:rFonts w:hint="eastAsia" w:ascii="黑体" w:hAnsi="宋体" w:eastAsia="黑体"/>
          <w:color w:val="auto"/>
          <w:sz w:val="36"/>
          <w:szCs w:val="36"/>
        </w:rPr>
        <w:t>3、分项报价明细表</w:t>
      </w:r>
    </w:p>
    <w:tbl>
      <w:tblPr>
        <w:tblStyle w:val="24"/>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1701"/>
        <w:gridCol w:w="1276"/>
        <w:gridCol w:w="2410"/>
        <w:gridCol w:w="850"/>
        <w:gridCol w:w="992"/>
        <w:gridCol w:w="1134"/>
        <w:gridCol w:w="1276"/>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675" w:type="dxa"/>
            <w:tcBorders>
              <w:top w:val="single" w:color="auto" w:sz="12" w:space="0"/>
              <w:left w:val="single" w:color="auto" w:sz="12" w:space="0"/>
            </w:tcBorders>
            <w:vAlign w:val="center"/>
          </w:tcPr>
          <w:p>
            <w:pPr>
              <w:spacing w:line="360" w:lineRule="exact"/>
              <w:jc w:val="center"/>
              <w:rPr>
                <w:rFonts w:ascii="仿宋_GB2312" w:hAnsi="宋体" w:eastAsia="仿宋_GB2312"/>
                <w:color w:val="auto"/>
                <w:sz w:val="24"/>
              </w:rPr>
            </w:pPr>
            <w:r>
              <w:rPr>
                <w:rFonts w:hint="eastAsia" w:ascii="仿宋_GB2312" w:hAnsi="宋体" w:eastAsia="仿宋_GB2312"/>
                <w:color w:val="auto"/>
                <w:sz w:val="24"/>
              </w:rPr>
              <w:t>序号</w:t>
            </w:r>
          </w:p>
        </w:tc>
        <w:tc>
          <w:tcPr>
            <w:tcW w:w="1276" w:type="dxa"/>
            <w:tcBorders>
              <w:top w:val="single" w:color="auto" w:sz="12" w:space="0"/>
              <w:right w:val="single" w:color="auto" w:sz="2" w:space="0"/>
            </w:tcBorders>
            <w:vAlign w:val="center"/>
          </w:tcPr>
          <w:p>
            <w:pPr>
              <w:spacing w:line="360" w:lineRule="exact"/>
              <w:jc w:val="center"/>
              <w:rPr>
                <w:rFonts w:ascii="仿宋_GB2312" w:hAnsi="宋体" w:eastAsia="仿宋_GB2312"/>
                <w:color w:val="auto"/>
                <w:sz w:val="24"/>
              </w:rPr>
            </w:pPr>
            <w:r>
              <w:rPr>
                <w:rFonts w:hint="eastAsia" w:ascii="仿宋_GB2312" w:hAnsi="宋体" w:eastAsia="仿宋_GB2312"/>
                <w:color w:val="auto"/>
                <w:sz w:val="24"/>
              </w:rPr>
              <w:t>货物名称</w:t>
            </w:r>
          </w:p>
        </w:tc>
        <w:tc>
          <w:tcPr>
            <w:tcW w:w="1701" w:type="dxa"/>
            <w:tcBorders>
              <w:top w:val="single" w:color="auto" w:sz="12" w:space="0"/>
              <w:left w:val="single" w:color="auto" w:sz="2" w:space="0"/>
              <w:right w:val="single" w:color="auto" w:sz="4" w:space="0"/>
            </w:tcBorders>
            <w:vAlign w:val="center"/>
          </w:tcPr>
          <w:p>
            <w:pPr>
              <w:spacing w:line="360" w:lineRule="exact"/>
              <w:jc w:val="center"/>
              <w:rPr>
                <w:rFonts w:ascii="仿宋_GB2312" w:hAnsi="宋体" w:eastAsia="仿宋_GB2312"/>
                <w:color w:val="auto"/>
                <w:sz w:val="24"/>
              </w:rPr>
            </w:pPr>
            <w:r>
              <w:rPr>
                <w:rFonts w:ascii="仿宋_GB2312" w:hAnsi="宋体" w:eastAsia="仿宋_GB2312"/>
                <w:color w:val="auto"/>
                <w:sz w:val="24"/>
              </w:rPr>
              <w:t>品牌或制造商</w:t>
            </w:r>
          </w:p>
        </w:tc>
        <w:tc>
          <w:tcPr>
            <w:tcW w:w="1276" w:type="dxa"/>
            <w:tcBorders>
              <w:top w:val="single" w:color="auto" w:sz="12" w:space="0"/>
              <w:left w:val="single" w:color="auto" w:sz="4" w:space="0"/>
              <w:right w:val="single" w:color="auto" w:sz="2" w:space="0"/>
            </w:tcBorders>
            <w:vAlign w:val="center"/>
          </w:tcPr>
          <w:p>
            <w:pPr>
              <w:spacing w:line="360" w:lineRule="exact"/>
              <w:jc w:val="center"/>
              <w:rPr>
                <w:rFonts w:ascii="仿宋_GB2312" w:hAnsi="宋体" w:eastAsia="仿宋_GB2312"/>
                <w:color w:val="auto"/>
                <w:sz w:val="24"/>
              </w:rPr>
            </w:pPr>
            <w:r>
              <w:rPr>
                <w:rFonts w:ascii="仿宋_GB2312" w:hAnsi="宋体" w:eastAsia="仿宋_GB2312"/>
                <w:color w:val="auto"/>
                <w:sz w:val="24"/>
              </w:rPr>
              <w:t>规格型号</w:t>
            </w:r>
          </w:p>
        </w:tc>
        <w:tc>
          <w:tcPr>
            <w:tcW w:w="2410" w:type="dxa"/>
            <w:tcBorders>
              <w:top w:val="single" w:color="auto" w:sz="12" w:space="0"/>
              <w:left w:val="single" w:color="auto" w:sz="2" w:space="0"/>
              <w:right w:val="single" w:color="auto" w:sz="4" w:space="0"/>
            </w:tcBorders>
            <w:vAlign w:val="center"/>
          </w:tcPr>
          <w:p>
            <w:pPr>
              <w:spacing w:line="360" w:lineRule="exact"/>
              <w:jc w:val="center"/>
              <w:rPr>
                <w:rFonts w:ascii="仿宋_GB2312" w:hAnsi="宋体" w:eastAsia="仿宋_GB2312"/>
                <w:color w:val="auto"/>
                <w:sz w:val="24"/>
              </w:rPr>
            </w:pPr>
            <w:r>
              <w:rPr>
                <w:rFonts w:ascii="仿宋_GB2312" w:hAnsi="宋体" w:eastAsia="仿宋_GB2312"/>
                <w:color w:val="auto"/>
                <w:sz w:val="24"/>
              </w:rPr>
              <w:t>货物技术参数及配置</w:t>
            </w:r>
          </w:p>
        </w:tc>
        <w:tc>
          <w:tcPr>
            <w:tcW w:w="850" w:type="dxa"/>
            <w:tcBorders>
              <w:top w:val="single" w:color="auto" w:sz="12" w:space="0"/>
              <w:left w:val="single" w:color="auto" w:sz="4" w:space="0"/>
              <w:right w:val="single" w:color="auto" w:sz="2" w:space="0"/>
            </w:tcBorders>
            <w:vAlign w:val="center"/>
          </w:tcPr>
          <w:p>
            <w:pPr>
              <w:spacing w:line="360" w:lineRule="exact"/>
              <w:jc w:val="center"/>
              <w:rPr>
                <w:rFonts w:ascii="仿宋_GB2312" w:hAnsi="宋体" w:eastAsia="仿宋_GB2312"/>
                <w:color w:val="auto"/>
                <w:sz w:val="24"/>
              </w:rPr>
            </w:pPr>
            <w:r>
              <w:rPr>
                <w:rFonts w:ascii="仿宋_GB2312" w:hAnsi="宋体" w:eastAsia="仿宋_GB2312"/>
                <w:color w:val="auto"/>
                <w:sz w:val="24"/>
              </w:rPr>
              <w:t>单位</w:t>
            </w:r>
          </w:p>
        </w:tc>
        <w:tc>
          <w:tcPr>
            <w:tcW w:w="992" w:type="dxa"/>
            <w:tcBorders>
              <w:top w:val="single" w:color="auto" w:sz="12" w:space="0"/>
              <w:left w:val="single" w:color="auto" w:sz="4" w:space="0"/>
              <w:right w:val="single" w:color="auto" w:sz="2" w:space="0"/>
            </w:tcBorders>
            <w:vAlign w:val="center"/>
          </w:tcPr>
          <w:p>
            <w:pPr>
              <w:spacing w:line="360" w:lineRule="exact"/>
              <w:jc w:val="center"/>
              <w:rPr>
                <w:rFonts w:ascii="仿宋_GB2312" w:hAnsi="宋体" w:eastAsia="仿宋_GB2312"/>
                <w:color w:val="auto"/>
                <w:sz w:val="24"/>
              </w:rPr>
            </w:pPr>
            <w:r>
              <w:rPr>
                <w:rFonts w:ascii="仿宋_GB2312" w:hAnsi="宋体" w:eastAsia="仿宋_GB2312"/>
                <w:color w:val="auto"/>
                <w:sz w:val="24"/>
              </w:rPr>
              <w:t>数量</w:t>
            </w:r>
          </w:p>
        </w:tc>
        <w:tc>
          <w:tcPr>
            <w:tcW w:w="1134" w:type="dxa"/>
            <w:tcBorders>
              <w:top w:val="single" w:color="auto" w:sz="12" w:space="0"/>
              <w:left w:val="single" w:color="auto" w:sz="2" w:space="0"/>
              <w:right w:val="single" w:color="auto" w:sz="4" w:space="0"/>
            </w:tcBorders>
            <w:vAlign w:val="center"/>
          </w:tcPr>
          <w:p>
            <w:pPr>
              <w:spacing w:line="360" w:lineRule="exact"/>
              <w:jc w:val="center"/>
              <w:rPr>
                <w:rFonts w:ascii="仿宋_GB2312" w:hAnsi="宋体" w:eastAsia="仿宋_GB2312"/>
                <w:color w:val="auto"/>
                <w:sz w:val="24"/>
              </w:rPr>
            </w:pPr>
            <w:r>
              <w:rPr>
                <w:rFonts w:ascii="仿宋_GB2312" w:hAnsi="宋体" w:eastAsia="仿宋_GB2312"/>
                <w:color w:val="auto"/>
                <w:sz w:val="24"/>
              </w:rPr>
              <w:t>单价</w:t>
            </w:r>
          </w:p>
        </w:tc>
        <w:tc>
          <w:tcPr>
            <w:tcW w:w="1276" w:type="dxa"/>
            <w:tcBorders>
              <w:top w:val="single" w:color="auto" w:sz="12" w:space="0"/>
              <w:left w:val="single" w:color="auto" w:sz="4" w:space="0"/>
              <w:right w:val="single" w:color="auto" w:sz="4" w:space="0"/>
            </w:tcBorders>
            <w:vAlign w:val="center"/>
          </w:tcPr>
          <w:p>
            <w:pPr>
              <w:spacing w:line="360" w:lineRule="exact"/>
              <w:jc w:val="center"/>
              <w:rPr>
                <w:rFonts w:ascii="仿宋_GB2312" w:hAnsi="宋体" w:eastAsia="仿宋_GB2312"/>
                <w:color w:val="auto"/>
                <w:sz w:val="24"/>
              </w:rPr>
            </w:pPr>
            <w:r>
              <w:rPr>
                <w:rFonts w:ascii="仿宋_GB2312" w:hAnsi="宋体" w:eastAsia="仿宋_GB2312"/>
                <w:color w:val="auto"/>
                <w:sz w:val="24"/>
              </w:rPr>
              <w:t>金额</w:t>
            </w:r>
          </w:p>
          <w:p>
            <w:pPr>
              <w:spacing w:line="360" w:lineRule="exact"/>
              <w:jc w:val="center"/>
              <w:rPr>
                <w:rFonts w:ascii="仿宋_GB2312" w:hAnsi="宋体" w:eastAsia="仿宋_GB2312"/>
                <w:color w:val="auto"/>
                <w:sz w:val="24"/>
              </w:rPr>
            </w:pPr>
            <w:r>
              <w:rPr>
                <w:rFonts w:hint="eastAsia" w:ascii="仿宋_GB2312" w:hAnsi="宋体" w:eastAsia="仿宋_GB2312"/>
                <w:color w:val="auto"/>
                <w:sz w:val="24"/>
              </w:rPr>
              <w:t>（元）</w:t>
            </w:r>
          </w:p>
        </w:tc>
        <w:tc>
          <w:tcPr>
            <w:tcW w:w="1134" w:type="dxa"/>
            <w:tcBorders>
              <w:top w:val="single" w:color="auto" w:sz="12" w:space="0"/>
              <w:left w:val="single" w:color="auto" w:sz="4" w:space="0"/>
              <w:right w:val="single" w:color="auto" w:sz="4" w:space="0"/>
            </w:tcBorders>
            <w:vAlign w:val="center"/>
          </w:tcPr>
          <w:p>
            <w:pPr>
              <w:spacing w:line="360" w:lineRule="exact"/>
              <w:jc w:val="center"/>
              <w:rPr>
                <w:rFonts w:ascii="仿宋_GB2312" w:hAnsi="宋体" w:eastAsia="仿宋_GB2312"/>
                <w:color w:val="auto"/>
                <w:sz w:val="24"/>
              </w:rPr>
            </w:pPr>
            <w:r>
              <w:rPr>
                <w:rFonts w:ascii="仿宋_GB2312" w:hAnsi="宋体" w:eastAsia="仿宋_GB2312"/>
                <w:color w:val="auto"/>
                <w:sz w:val="24"/>
              </w:rPr>
              <w:t>质保期</w:t>
            </w:r>
          </w:p>
          <w:p>
            <w:pPr>
              <w:spacing w:line="360" w:lineRule="exact"/>
              <w:jc w:val="center"/>
              <w:rPr>
                <w:rFonts w:ascii="仿宋_GB2312" w:hAnsi="宋体" w:eastAsia="仿宋_GB2312"/>
                <w:color w:val="auto"/>
                <w:sz w:val="24"/>
              </w:rPr>
            </w:pPr>
            <w:r>
              <w:rPr>
                <w:rFonts w:hint="eastAsia" w:ascii="仿宋_GB2312" w:hAnsi="宋体" w:eastAsia="仿宋_GB2312"/>
                <w:color w:val="auto"/>
                <w:sz w:val="24"/>
              </w:rPr>
              <w:t>（年）</w:t>
            </w:r>
          </w:p>
        </w:tc>
        <w:tc>
          <w:tcPr>
            <w:tcW w:w="1418" w:type="dxa"/>
            <w:tcBorders>
              <w:top w:val="single" w:color="auto" w:sz="12" w:space="0"/>
              <w:left w:val="single" w:color="auto" w:sz="4" w:space="0"/>
              <w:right w:val="single" w:color="auto" w:sz="12" w:space="0"/>
            </w:tcBorders>
            <w:vAlign w:val="center"/>
          </w:tcPr>
          <w:p>
            <w:pPr>
              <w:spacing w:line="360" w:lineRule="exact"/>
              <w:jc w:val="center"/>
              <w:rPr>
                <w:rFonts w:ascii="仿宋_GB2312" w:hAnsi="宋体" w:eastAsia="仿宋_GB2312"/>
                <w:color w:val="auto"/>
                <w:sz w:val="24"/>
              </w:rPr>
            </w:pPr>
            <w:r>
              <w:rPr>
                <w:rFonts w:ascii="仿宋_GB2312" w:hAnsi="宋体" w:eastAsia="仿宋_GB2312"/>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trPr>
        <w:tc>
          <w:tcPr>
            <w:tcW w:w="675" w:type="dxa"/>
            <w:tcBorders>
              <w:left w:val="single" w:color="auto" w:sz="12" w:space="0"/>
            </w:tcBorders>
            <w:vAlign w:val="center"/>
          </w:tcPr>
          <w:p>
            <w:pPr>
              <w:spacing w:beforeLines="50" w:afterLines="50" w:line="360" w:lineRule="auto"/>
              <w:jc w:val="center"/>
              <w:rPr>
                <w:rFonts w:ascii="仿宋_GB2312" w:hAnsi="宋体" w:eastAsia="仿宋_GB2312"/>
                <w:color w:val="auto"/>
                <w:sz w:val="24"/>
              </w:rPr>
            </w:pPr>
          </w:p>
        </w:tc>
        <w:tc>
          <w:tcPr>
            <w:tcW w:w="1276" w:type="dxa"/>
            <w:tcBorders>
              <w:left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1701" w:type="dxa"/>
            <w:tcBorders>
              <w:left w:val="single" w:color="auto" w:sz="2"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1276" w:type="dxa"/>
            <w:tcBorders>
              <w:left w:val="single" w:color="auto" w:sz="4"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2410" w:type="dxa"/>
            <w:tcBorders>
              <w:left w:val="single" w:color="auto" w:sz="2"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850" w:type="dxa"/>
            <w:tcBorders>
              <w:left w:val="single" w:color="auto" w:sz="4"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992" w:type="dxa"/>
            <w:tcBorders>
              <w:left w:val="single" w:color="auto" w:sz="4"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1134" w:type="dxa"/>
            <w:tcBorders>
              <w:left w:val="single" w:color="auto" w:sz="2"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1276" w:type="dxa"/>
            <w:tcBorders>
              <w:left w:val="single" w:color="auto" w:sz="4"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1134" w:type="dxa"/>
            <w:tcBorders>
              <w:left w:val="single" w:color="auto" w:sz="4"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1418" w:type="dxa"/>
            <w:tcBorders>
              <w:left w:val="single" w:color="auto" w:sz="4" w:space="0"/>
              <w:right w:val="single" w:color="auto" w:sz="12" w:space="0"/>
            </w:tcBorders>
            <w:vAlign w:val="center"/>
          </w:tcPr>
          <w:p>
            <w:pPr>
              <w:spacing w:beforeLines="50" w:afterLines="50" w:line="360" w:lineRule="auto"/>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1" w:hRule="exact"/>
        </w:trPr>
        <w:tc>
          <w:tcPr>
            <w:tcW w:w="675" w:type="dxa"/>
            <w:tcBorders>
              <w:top w:val="single" w:color="auto" w:sz="2" w:space="0"/>
              <w:left w:val="single" w:color="auto" w:sz="12" w:space="0"/>
              <w:bottom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1701" w:type="dxa"/>
            <w:tcBorders>
              <w:top w:val="single" w:color="auto" w:sz="2" w:space="0"/>
              <w:left w:val="single" w:color="auto" w:sz="2" w:space="0"/>
              <w:bottom w:val="single" w:color="auto" w:sz="2"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1276" w:type="dxa"/>
            <w:tcBorders>
              <w:top w:val="single" w:color="auto" w:sz="2" w:space="0"/>
              <w:left w:val="single" w:color="auto" w:sz="4" w:space="0"/>
              <w:bottom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2410" w:type="dxa"/>
            <w:tcBorders>
              <w:top w:val="single" w:color="auto" w:sz="2" w:space="0"/>
              <w:left w:val="single" w:color="auto" w:sz="2" w:space="0"/>
              <w:bottom w:val="single" w:color="auto" w:sz="2"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850" w:type="dxa"/>
            <w:tcBorders>
              <w:top w:val="single" w:color="auto" w:sz="2" w:space="0"/>
              <w:left w:val="single" w:color="auto" w:sz="4" w:space="0"/>
              <w:bottom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992" w:type="dxa"/>
            <w:tcBorders>
              <w:top w:val="single" w:color="auto" w:sz="2" w:space="0"/>
              <w:left w:val="single" w:color="auto" w:sz="4" w:space="0"/>
              <w:bottom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1134" w:type="dxa"/>
            <w:tcBorders>
              <w:top w:val="single" w:color="auto" w:sz="2" w:space="0"/>
              <w:left w:val="single" w:color="auto" w:sz="2" w:space="0"/>
              <w:bottom w:val="single" w:color="auto" w:sz="2"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1276" w:type="dxa"/>
            <w:tcBorders>
              <w:top w:val="single" w:color="auto" w:sz="2" w:space="0"/>
              <w:left w:val="single" w:color="auto" w:sz="4" w:space="0"/>
              <w:bottom w:val="single" w:color="auto" w:sz="2"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1134" w:type="dxa"/>
            <w:tcBorders>
              <w:top w:val="single" w:color="auto" w:sz="2" w:space="0"/>
              <w:left w:val="single" w:color="auto" w:sz="4" w:space="0"/>
              <w:bottom w:val="single" w:color="auto" w:sz="2"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1418" w:type="dxa"/>
            <w:tcBorders>
              <w:top w:val="single" w:color="auto" w:sz="2" w:space="0"/>
              <w:left w:val="single" w:color="auto" w:sz="4" w:space="0"/>
              <w:bottom w:val="single" w:color="auto" w:sz="2" w:space="0"/>
              <w:right w:val="single" w:color="auto" w:sz="12" w:space="0"/>
            </w:tcBorders>
            <w:vAlign w:val="center"/>
          </w:tcPr>
          <w:p>
            <w:pPr>
              <w:spacing w:beforeLines="50" w:afterLines="50" w:line="360" w:lineRule="auto"/>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trPr>
        <w:tc>
          <w:tcPr>
            <w:tcW w:w="675" w:type="dxa"/>
            <w:tcBorders>
              <w:top w:val="single" w:color="auto" w:sz="2" w:space="0"/>
              <w:left w:val="single" w:color="auto" w:sz="12" w:space="0"/>
              <w:bottom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1701" w:type="dxa"/>
            <w:tcBorders>
              <w:top w:val="single" w:color="auto" w:sz="2" w:space="0"/>
              <w:left w:val="single" w:color="auto" w:sz="2" w:space="0"/>
              <w:bottom w:val="single" w:color="auto" w:sz="2"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1276" w:type="dxa"/>
            <w:tcBorders>
              <w:top w:val="single" w:color="auto" w:sz="2" w:space="0"/>
              <w:left w:val="single" w:color="auto" w:sz="4" w:space="0"/>
              <w:bottom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2410" w:type="dxa"/>
            <w:tcBorders>
              <w:top w:val="single" w:color="auto" w:sz="2" w:space="0"/>
              <w:left w:val="single" w:color="auto" w:sz="2" w:space="0"/>
              <w:bottom w:val="single" w:color="auto" w:sz="2"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850" w:type="dxa"/>
            <w:tcBorders>
              <w:top w:val="single" w:color="auto" w:sz="2" w:space="0"/>
              <w:left w:val="single" w:color="auto" w:sz="4" w:space="0"/>
              <w:bottom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992" w:type="dxa"/>
            <w:tcBorders>
              <w:top w:val="single" w:color="auto" w:sz="2" w:space="0"/>
              <w:left w:val="single" w:color="auto" w:sz="4" w:space="0"/>
              <w:bottom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1134" w:type="dxa"/>
            <w:tcBorders>
              <w:top w:val="single" w:color="auto" w:sz="2" w:space="0"/>
              <w:left w:val="single" w:color="auto" w:sz="2" w:space="0"/>
              <w:bottom w:val="single" w:color="auto" w:sz="2"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1276" w:type="dxa"/>
            <w:tcBorders>
              <w:top w:val="single" w:color="auto" w:sz="2" w:space="0"/>
              <w:left w:val="single" w:color="auto" w:sz="4" w:space="0"/>
              <w:bottom w:val="single" w:color="auto" w:sz="2"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1134" w:type="dxa"/>
            <w:tcBorders>
              <w:top w:val="single" w:color="auto" w:sz="2" w:space="0"/>
              <w:left w:val="single" w:color="auto" w:sz="4" w:space="0"/>
              <w:bottom w:val="single" w:color="auto" w:sz="2"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1418" w:type="dxa"/>
            <w:tcBorders>
              <w:top w:val="single" w:color="auto" w:sz="2" w:space="0"/>
              <w:left w:val="single" w:color="auto" w:sz="4" w:space="0"/>
              <w:bottom w:val="single" w:color="auto" w:sz="2" w:space="0"/>
              <w:right w:val="single" w:color="auto" w:sz="12" w:space="0"/>
            </w:tcBorders>
            <w:vAlign w:val="center"/>
          </w:tcPr>
          <w:p>
            <w:pPr>
              <w:spacing w:beforeLines="50" w:afterLines="50" w:line="360" w:lineRule="auto"/>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trPr>
        <w:tc>
          <w:tcPr>
            <w:tcW w:w="675" w:type="dxa"/>
            <w:tcBorders>
              <w:top w:val="single" w:color="auto" w:sz="2" w:space="0"/>
              <w:left w:val="single" w:color="auto" w:sz="12" w:space="0"/>
              <w:bottom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1276" w:type="dxa"/>
            <w:tcBorders>
              <w:top w:val="single" w:color="auto" w:sz="2" w:space="0"/>
              <w:left w:val="single" w:color="auto" w:sz="2" w:space="0"/>
              <w:bottom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1701" w:type="dxa"/>
            <w:tcBorders>
              <w:top w:val="single" w:color="auto" w:sz="2" w:space="0"/>
              <w:left w:val="single" w:color="auto" w:sz="2" w:space="0"/>
              <w:bottom w:val="single" w:color="auto" w:sz="2"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1276" w:type="dxa"/>
            <w:tcBorders>
              <w:top w:val="single" w:color="auto" w:sz="2" w:space="0"/>
              <w:left w:val="single" w:color="auto" w:sz="4" w:space="0"/>
              <w:bottom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2410" w:type="dxa"/>
            <w:tcBorders>
              <w:top w:val="single" w:color="auto" w:sz="2" w:space="0"/>
              <w:left w:val="single" w:color="auto" w:sz="2" w:space="0"/>
              <w:bottom w:val="single" w:color="auto" w:sz="2"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850" w:type="dxa"/>
            <w:tcBorders>
              <w:top w:val="single" w:color="auto" w:sz="2" w:space="0"/>
              <w:left w:val="single" w:color="auto" w:sz="4" w:space="0"/>
              <w:bottom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992" w:type="dxa"/>
            <w:tcBorders>
              <w:top w:val="single" w:color="auto" w:sz="2" w:space="0"/>
              <w:left w:val="single" w:color="auto" w:sz="4" w:space="0"/>
              <w:bottom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1134" w:type="dxa"/>
            <w:tcBorders>
              <w:top w:val="single" w:color="auto" w:sz="2" w:space="0"/>
              <w:left w:val="single" w:color="auto" w:sz="2" w:space="0"/>
              <w:bottom w:val="single" w:color="auto" w:sz="2"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1276" w:type="dxa"/>
            <w:tcBorders>
              <w:top w:val="single" w:color="auto" w:sz="2" w:space="0"/>
              <w:left w:val="single" w:color="auto" w:sz="4" w:space="0"/>
              <w:bottom w:val="single" w:color="auto" w:sz="2"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1134" w:type="dxa"/>
            <w:tcBorders>
              <w:top w:val="single" w:color="auto" w:sz="2" w:space="0"/>
              <w:left w:val="single" w:color="auto" w:sz="4" w:space="0"/>
              <w:bottom w:val="single" w:color="auto" w:sz="2"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1418" w:type="dxa"/>
            <w:tcBorders>
              <w:top w:val="single" w:color="auto" w:sz="2" w:space="0"/>
              <w:left w:val="single" w:color="auto" w:sz="4" w:space="0"/>
              <w:bottom w:val="single" w:color="auto" w:sz="2" w:space="0"/>
              <w:right w:val="single" w:color="auto" w:sz="12" w:space="0"/>
            </w:tcBorders>
            <w:vAlign w:val="center"/>
          </w:tcPr>
          <w:p>
            <w:pPr>
              <w:spacing w:beforeLines="50" w:afterLines="50" w:line="360" w:lineRule="auto"/>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trPr>
        <w:tc>
          <w:tcPr>
            <w:tcW w:w="675" w:type="dxa"/>
            <w:tcBorders>
              <w:top w:val="single" w:color="auto" w:sz="2" w:space="0"/>
              <w:left w:val="single" w:color="auto" w:sz="12" w:space="0"/>
              <w:bottom w:val="single" w:color="auto" w:sz="12" w:space="0"/>
            </w:tcBorders>
            <w:vAlign w:val="center"/>
          </w:tcPr>
          <w:p>
            <w:pPr>
              <w:spacing w:beforeLines="50" w:afterLines="50" w:line="360" w:lineRule="auto"/>
              <w:jc w:val="center"/>
              <w:rPr>
                <w:rFonts w:ascii="仿宋_GB2312" w:hAnsi="宋体" w:eastAsia="仿宋_GB2312"/>
                <w:color w:val="auto"/>
                <w:sz w:val="24"/>
              </w:rPr>
            </w:pPr>
          </w:p>
        </w:tc>
        <w:tc>
          <w:tcPr>
            <w:tcW w:w="1276" w:type="dxa"/>
            <w:tcBorders>
              <w:top w:val="single" w:color="auto" w:sz="2" w:space="0"/>
              <w:left w:val="single" w:color="auto" w:sz="2" w:space="0"/>
              <w:bottom w:val="single" w:color="auto" w:sz="1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1701" w:type="dxa"/>
            <w:tcBorders>
              <w:top w:val="single" w:color="auto" w:sz="2" w:space="0"/>
              <w:left w:val="single" w:color="auto" w:sz="2" w:space="0"/>
              <w:bottom w:val="single" w:color="auto" w:sz="12"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1276" w:type="dxa"/>
            <w:tcBorders>
              <w:top w:val="single" w:color="auto" w:sz="2" w:space="0"/>
              <w:left w:val="single" w:color="auto" w:sz="4" w:space="0"/>
              <w:bottom w:val="single" w:color="auto" w:sz="1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2410" w:type="dxa"/>
            <w:tcBorders>
              <w:top w:val="single" w:color="auto" w:sz="2" w:space="0"/>
              <w:left w:val="single" w:color="auto" w:sz="2" w:space="0"/>
              <w:bottom w:val="single" w:color="auto" w:sz="12"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850" w:type="dxa"/>
            <w:tcBorders>
              <w:top w:val="single" w:color="auto" w:sz="2" w:space="0"/>
              <w:left w:val="single" w:color="auto" w:sz="4" w:space="0"/>
              <w:bottom w:val="single" w:color="auto" w:sz="1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992" w:type="dxa"/>
            <w:tcBorders>
              <w:top w:val="single" w:color="auto" w:sz="2" w:space="0"/>
              <w:left w:val="single" w:color="auto" w:sz="4" w:space="0"/>
              <w:bottom w:val="single" w:color="auto" w:sz="1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1134" w:type="dxa"/>
            <w:tcBorders>
              <w:top w:val="single" w:color="auto" w:sz="2" w:space="0"/>
              <w:left w:val="single" w:color="auto" w:sz="2" w:space="0"/>
              <w:bottom w:val="single" w:color="auto" w:sz="12"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1276" w:type="dxa"/>
            <w:tcBorders>
              <w:top w:val="single" w:color="auto" w:sz="2" w:space="0"/>
              <w:left w:val="single" w:color="auto" w:sz="4" w:space="0"/>
              <w:bottom w:val="single" w:color="auto" w:sz="12"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1134" w:type="dxa"/>
            <w:tcBorders>
              <w:top w:val="single" w:color="auto" w:sz="2" w:space="0"/>
              <w:left w:val="single" w:color="auto" w:sz="4" w:space="0"/>
              <w:bottom w:val="single" w:color="auto" w:sz="12" w:space="0"/>
              <w:right w:val="single" w:color="auto" w:sz="4" w:space="0"/>
            </w:tcBorders>
            <w:vAlign w:val="center"/>
          </w:tcPr>
          <w:p>
            <w:pPr>
              <w:spacing w:beforeLines="50" w:afterLines="50" w:line="360" w:lineRule="auto"/>
              <w:jc w:val="center"/>
              <w:rPr>
                <w:rFonts w:ascii="仿宋_GB2312" w:hAnsi="宋体" w:eastAsia="仿宋_GB2312"/>
                <w:color w:val="auto"/>
                <w:sz w:val="24"/>
              </w:rPr>
            </w:pPr>
          </w:p>
        </w:tc>
        <w:tc>
          <w:tcPr>
            <w:tcW w:w="1418" w:type="dxa"/>
            <w:tcBorders>
              <w:top w:val="single" w:color="auto" w:sz="2" w:space="0"/>
              <w:left w:val="single" w:color="auto" w:sz="4" w:space="0"/>
              <w:bottom w:val="single" w:color="auto" w:sz="12" w:space="0"/>
              <w:right w:val="single" w:color="auto" w:sz="12" w:space="0"/>
            </w:tcBorders>
            <w:vAlign w:val="center"/>
          </w:tcPr>
          <w:p>
            <w:pPr>
              <w:spacing w:beforeLines="50" w:afterLines="50" w:line="360" w:lineRule="auto"/>
              <w:jc w:val="center"/>
              <w:rPr>
                <w:rFonts w:ascii="仿宋_GB2312" w:hAnsi="宋体" w:eastAsia="仿宋_GB2312"/>
                <w:color w:val="auto"/>
                <w:sz w:val="24"/>
              </w:rPr>
            </w:pPr>
          </w:p>
        </w:tc>
      </w:tr>
    </w:tbl>
    <w:p>
      <w:pPr>
        <w:pStyle w:val="2"/>
        <w:rPr>
          <w:rFonts w:ascii="仿宋_GB2312" w:eastAsia="仿宋_GB2312"/>
          <w:color w:val="auto"/>
          <w:sz w:val="24"/>
        </w:rPr>
      </w:pPr>
    </w:p>
    <w:p>
      <w:pPr>
        <w:snapToGrid w:val="0"/>
        <w:spacing w:line="640" w:lineRule="exact"/>
        <w:ind w:firstLine="560" w:firstLineChars="200"/>
        <w:rPr>
          <w:rFonts w:ascii="仿宋_GB2312" w:hAnsi="宋体" w:eastAsia="仿宋_GB2312" w:cs="宋体"/>
          <w:color w:val="auto"/>
          <w:sz w:val="28"/>
          <w:szCs w:val="28"/>
        </w:rPr>
      </w:pPr>
      <w:r>
        <w:rPr>
          <w:rFonts w:hint="eastAsia" w:ascii="仿宋_GB2312" w:hAnsi="宋体" w:eastAsia="仿宋_GB2312" w:cs="宋体"/>
          <w:color w:val="auto"/>
          <w:sz w:val="28"/>
          <w:szCs w:val="28"/>
        </w:rPr>
        <w:t xml:space="preserve">  投标人（全称）：</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（公章）</w:t>
      </w:r>
    </w:p>
    <w:p>
      <w:pPr>
        <w:snapToGrid w:val="0"/>
        <w:spacing w:line="640" w:lineRule="exact"/>
        <w:ind w:firstLine="851" w:firstLineChars="304"/>
        <w:rPr>
          <w:rFonts w:ascii="仿宋_GB2312" w:hAnsi="宋体" w:eastAsia="仿宋_GB2312" w:cs="宋体"/>
          <w:color w:val="auto"/>
          <w:sz w:val="28"/>
          <w:szCs w:val="28"/>
        </w:rPr>
      </w:pPr>
      <w:r>
        <w:rPr>
          <w:rFonts w:hint="eastAsia" w:ascii="仿宋_GB2312" w:hAnsi="宋体" w:eastAsia="仿宋_GB2312" w:cs="宋体"/>
          <w:color w:val="auto"/>
          <w:sz w:val="28"/>
          <w:szCs w:val="28"/>
        </w:rPr>
        <w:t xml:space="preserve">法定代表人或其授权委托人：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（签字或盖章）</w:t>
      </w:r>
    </w:p>
    <w:p>
      <w:pPr>
        <w:autoSpaceDE w:val="0"/>
        <w:autoSpaceDN w:val="0"/>
        <w:adjustRightInd w:val="0"/>
        <w:spacing w:line="560" w:lineRule="exact"/>
        <w:ind w:firstLine="840" w:firstLineChars="300"/>
        <w:rPr>
          <w:rFonts w:ascii="仿宋_GB2312" w:hAnsi="宋体" w:eastAsia="仿宋_GB2312"/>
          <w:color w:val="auto"/>
          <w:sz w:val="28"/>
          <w:szCs w:val="28"/>
        </w:rPr>
      </w:pPr>
      <w:r>
        <w:rPr>
          <w:rFonts w:hint="eastAsia" w:ascii="仿宋_GB2312" w:eastAsia="仿宋_GB2312"/>
          <w:color w:val="auto"/>
          <w:sz w:val="28"/>
          <w:szCs w:val="28"/>
        </w:rPr>
        <w:t>日      期：</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年</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月</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日</w:t>
      </w:r>
    </w:p>
    <w:p>
      <w:pPr>
        <w:pStyle w:val="16"/>
        <w:spacing w:beforeLines="100" w:afterLines="100" w:line="360" w:lineRule="auto"/>
        <w:jc w:val="center"/>
        <w:rPr>
          <w:rFonts w:ascii="仿宋_GB2312" w:hAnsi="宋体" w:eastAsia="仿宋_GB2312"/>
          <w:color w:val="auto"/>
          <w:sz w:val="28"/>
          <w:szCs w:val="28"/>
        </w:rPr>
        <w:sectPr>
          <w:pgSz w:w="16838" w:h="11906" w:orient="landscape"/>
          <w:pgMar w:top="1077" w:right="1440" w:bottom="1077" w:left="1440" w:header="851" w:footer="992" w:gutter="0"/>
          <w:cols w:space="720" w:num="1"/>
          <w:docGrid w:linePitch="312" w:charSpace="0"/>
        </w:sectPr>
      </w:pPr>
    </w:p>
    <w:p>
      <w:pPr>
        <w:pStyle w:val="16"/>
        <w:spacing w:beforeLines="100" w:afterLines="100" w:line="360" w:lineRule="auto"/>
        <w:jc w:val="center"/>
        <w:rPr>
          <w:rFonts w:ascii="黑体" w:hAnsi="宋体" w:eastAsia="黑体"/>
          <w:color w:val="auto"/>
          <w:sz w:val="36"/>
          <w:szCs w:val="36"/>
        </w:rPr>
      </w:pPr>
      <w:r>
        <w:rPr>
          <w:rFonts w:hint="eastAsia" w:ascii="黑体" w:hAnsi="宋体" w:eastAsia="黑体"/>
          <w:color w:val="auto"/>
          <w:sz w:val="36"/>
          <w:szCs w:val="36"/>
        </w:rPr>
        <w:t>4、商务条款偏离表</w:t>
      </w:r>
    </w:p>
    <w:p>
      <w:pPr>
        <w:adjustRightInd w:val="0"/>
        <w:snapToGrid w:val="0"/>
        <w:spacing w:line="360" w:lineRule="auto"/>
        <w:ind w:right="105" w:rightChars="50" w:firstLine="547" w:firstLineChars="227"/>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 xml:space="preserve">项目名称：                                             项目编号： </w:t>
      </w:r>
    </w:p>
    <w:tbl>
      <w:tblPr>
        <w:tblStyle w:val="24"/>
        <w:tblW w:w="9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2193"/>
        <w:gridCol w:w="2334"/>
        <w:gridCol w:w="2193"/>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1186" w:type="dxa"/>
            <w:tcBorders>
              <w:top w:val="single" w:color="auto" w:sz="12" w:space="0"/>
              <w:left w:val="single" w:color="auto" w:sz="12" w:space="0"/>
            </w:tcBorders>
            <w:vAlign w:val="center"/>
          </w:tcPr>
          <w:p>
            <w:pPr>
              <w:spacing w:line="360" w:lineRule="exact"/>
              <w:jc w:val="center"/>
              <w:rPr>
                <w:rFonts w:ascii="仿宋_GB2312" w:hAnsi="宋体" w:eastAsia="仿宋_GB2312"/>
                <w:color w:val="auto"/>
                <w:sz w:val="24"/>
              </w:rPr>
            </w:pPr>
            <w:r>
              <w:rPr>
                <w:rFonts w:hint="eastAsia" w:ascii="仿宋_GB2312" w:hAnsi="宋体" w:eastAsia="仿宋_GB2312"/>
                <w:color w:val="auto"/>
                <w:sz w:val="24"/>
              </w:rPr>
              <w:t>序号</w:t>
            </w:r>
          </w:p>
        </w:tc>
        <w:tc>
          <w:tcPr>
            <w:tcW w:w="2193" w:type="dxa"/>
            <w:tcBorders>
              <w:top w:val="single" w:color="auto" w:sz="12" w:space="0"/>
              <w:right w:val="single" w:color="auto" w:sz="2" w:space="0"/>
            </w:tcBorders>
            <w:vAlign w:val="center"/>
          </w:tcPr>
          <w:p>
            <w:pPr>
              <w:spacing w:line="360" w:lineRule="exact"/>
              <w:jc w:val="center"/>
              <w:rPr>
                <w:rFonts w:ascii="仿宋_GB2312" w:hAnsi="宋体" w:eastAsia="仿宋_GB2312"/>
                <w:color w:val="auto"/>
                <w:sz w:val="24"/>
              </w:rPr>
            </w:pPr>
            <w:r>
              <w:rPr>
                <w:rFonts w:hint="eastAsia" w:ascii="仿宋_GB2312" w:hAnsi="宋体" w:eastAsia="仿宋_GB2312"/>
                <w:color w:val="auto"/>
                <w:sz w:val="24"/>
              </w:rPr>
              <w:t>招标文件的</w:t>
            </w:r>
          </w:p>
          <w:p>
            <w:pPr>
              <w:spacing w:line="360" w:lineRule="exact"/>
              <w:jc w:val="center"/>
              <w:rPr>
                <w:rFonts w:ascii="仿宋_GB2312" w:hAnsi="宋体" w:eastAsia="仿宋_GB2312"/>
                <w:color w:val="auto"/>
                <w:sz w:val="24"/>
              </w:rPr>
            </w:pPr>
            <w:r>
              <w:rPr>
                <w:rFonts w:hint="eastAsia" w:ascii="仿宋_GB2312" w:hAnsi="宋体" w:eastAsia="仿宋_GB2312"/>
                <w:color w:val="auto"/>
                <w:sz w:val="24"/>
              </w:rPr>
              <w:t>商务条款</w:t>
            </w:r>
          </w:p>
        </w:tc>
        <w:tc>
          <w:tcPr>
            <w:tcW w:w="2334" w:type="dxa"/>
            <w:tcBorders>
              <w:top w:val="single" w:color="auto" w:sz="12" w:space="0"/>
              <w:left w:val="single" w:color="auto" w:sz="2" w:space="0"/>
              <w:right w:val="single" w:color="auto" w:sz="2" w:space="0"/>
            </w:tcBorders>
            <w:vAlign w:val="center"/>
          </w:tcPr>
          <w:p>
            <w:pPr>
              <w:spacing w:line="360" w:lineRule="exact"/>
              <w:jc w:val="center"/>
              <w:rPr>
                <w:rFonts w:ascii="仿宋_GB2312" w:hAnsi="宋体" w:eastAsia="仿宋_GB2312"/>
                <w:color w:val="auto"/>
                <w:sz w:val="24"/>
              </w:rPr>
            </w:pPr>
            <w:r>
              <w:rPr>
                <w:rFonts w:hint="eastAsia" w:ascii="仿宋_GB2312" w:hAnsi="宋体" w:eastAsia="仿宋_GB2312"/>
                <w:color w:val="auto"/>
                <w:sz w:val="24"/>
              </w:rPr>
              <w:t>投标文件的</w:t>
            </w:r>
          </w:p>
          <w:p>
            <w:pPr>
              <w:spacing w:line="360" w:lineRule="exact"/>
              <w:jc w:val="center"/>
              <w:rPr>
                <w:rFonts w:ascii="仿宋_GB2312" w:hAnsi="宋体" w:eastAsia="仿宋_GB2312"/>
                <w:color w:val="auto"/>
                <w:sz w:val="24"/>
              </w:rPr>
            </w:pPr>
            <w:r>
              <w:rPr>
                <w:rFonts w:hint="eastAsia" w:ascii="仿宋_GB2312" w:hAnsi="宋体" w:eastAsia="仿宋_GB2312"/>
                <w:color w:val="auto"/>
                <w:sz w:val="24"/>
              </w:rPr>
              <w:t>商务响应情况</w:t>
            </w:r>
          </w:p>
        </w:tc>
        <w:tc>
          <w:tcPr>
            <w:tcW w:w="2193" w:type="dxa"/>
            <w:tcBorders>
              <w:top w:val="single" w:color="auto" w:sz="12" w:space="0"/>
              <w:left w:val="single" w:color="auto" w:sz="2" w:space="0"/>
              <w:right w:val="single" w:color="auto" w:sz="2" w:space="0"/>
            </w:tcBorders>
            <w:vAlign w:val="center"/>
          </w:tcPr>
          <w:p>
            <w:pPr>
              <w:spacing w:line="360" w:lineRule="exact"/>
              <w:jc w:val="center"/>
              <w:rPr>
                <w:rFonts w:ascii="仿宋_GB2312" w:hAnsi="宋体" w:eastAsia="仿宋_GB2312"/>
                <w:color w:val="auto"/>
                <w:sz w:val="24"/>
              </w:rPr>
            </w:pPr>
            <w:r>
              <w:rPr>
                <w:rFonts w:hint="eastAsia" w:ascii="仿宋_GB2312" w:hAnsi="宋体" w:eastAsia="仿宋_GB2312"/>
                <w:color w:val="auto"/>
                <w:sz w:val="24"/>
              </w:rPr>
              <w:t>偏离情况</w:t>
            </w:r>
          </w:p>
        </w:tc>
        <w:tc>
          <w:tcPr>
            <w:tcW w:w="1891" w:type="dxa"/>
            <w:tcBorders>
              <w:top w:val="single" w:color="auto" w:sz="12" w:space="0"/>
              <w:left w:val="single" w:color="auto" w:sz="2" w:space="0"/>
              <w:right w:val="single" w:color="auto" w:sz="12" w:space="0"/>
            </w:tcBorders>
            <w:vAlign w:val="center"/>
          </w:tcPr>
          <w:p>
            <w:pPr>
              <w:spacing w:line="360" w:lineRule="exact"/>
              <w:jc w:val="center"/>
              <w:rPr>
                <w:rFonts w:ascii="仿宋_GB2312" w:hAnsi="宋体" w:eastAsia="仿宋_GB2312"/>
                <w:color w:val="auto"/>
                <w:sz w:val="24"/>
              </w:rPr>
            </w:pPr>
            <w:r>
              <w:rPr>
                <w:rFonts w:hint="eastAsia" w:ascii="仿宋_GB2312" w:hAnsi="宋体" w:eastAsia="仿宋_GB2312"/>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trPr>
        <w:tc>
          <w:tcPr>
            <w:tcW w:w="1186" w:type="dxa"/>
            <w:tcBorders>
              <w:left w:val="single" w:color="auto" w:sz="12" w:space="0"/>
            </w:tcBorders>
            <w:vAlign w:val="center"/>
          </w:tcPr>
          <w:p>
            <w:pPr>
              <w:spacing w:beforeLines="50" w:afterLines="50" w:line="360" w:lineRule="auto"/>
              <w:jc w:val="center"/>
              <w:rPr>
                <w:rFonts w:ascii="仿宋_GB2312" w:hAnsi="宋体" w:eastAsia="仿宋_GB2312"/>
                <w:color w:val="auto"/>
                <w:sz w:val="24"/>
              </w:rPr>
            </w:pPr>
          </w:p>
        </w:tc>
        <w:tc>
          <w:tcPr>
            <w:tcW w:w="2193" w:type="dxa"/>
            <w:tcBorders>
              <w:left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2334" w:type="dxa"/>
            <w:tcBorders>
              <w:left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2193" w:type="dxa"/>
            <w:tcBorders>
              <w:left w:val="single" w:color="auto" w:sz="2" w:space="0"/>
              <w:right w:val="single" w:color="auto" w:sz="2" w:space="0"/>
            </w:tcBorders>
          </w:tcPr>
          <w:p>
            <w:pPr>
              <w:spacing w:beforeLines="50" w:afterLines="50" w:line="360" w:lineRule="auto"/>
              <w:jc w:val="center"/>
              <w:rPr>
                <w:rFonts w:ascii="仿宋_GB2312" w:hAnsi="宋体" w:eastAsia="仿宋_GB2312"/>
                <w:color w:val="auto"/>
                <w:sz w:val="24"/>
              </w:rPr>
            </w:pPr>
          </w:p>
        </w:tc>
        <w:tc>
          <w:tcPr>
            <w:tcW w:w="1891" w:type="dxa"/>
            <w:tcBorders>
              <w:left w:val="single" w:color="auto" w:sz="2" w:space="0"/>
              <w:right w:val="single" w:color="auto" w:sz="12" w:space="0"/>
            </w:tcBorders>
            <w:vAlign w:val="center"/>
          </w:tcPr>
          <w:p>
            <w:pPr>
              <w:spacing w:beforeLines="50" w:afterLines="50" w:line="360" w:lineRule="auto"/>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trPr>
        <w:tc>
          <w:tcPr>
            <w:tcW w:w="1186" w:type="dxa"/>
            <w:tcBorders>
              <w:left w:val="single" w:color="auto" w:sz="12" w:space="0"/>
            </w:tcBorders>
            <w:vAlign w:val="center"/>
          </w:tcPr>
          <w:p>
            <w:pPr>
              <w:spacing w:beforeLines="50" w:afterLines="50" w:line="360" w:lineRule="auto"/>
              <w:jc w:val="center"/>
              <w:rPr>
                <w:rFonts w:ascii="仿宋_GB2312" w:hAnsi="宋体" w:eastAsia="仿宋_GB2312"/>
                <w:color w:val="auto"/>
                <w:sz w:val="24"/>
              </w:rPr>
            </w:pPr>
          </w:p>
        </w:tc>
        <w:tc>
          <w:tcPr>
            <w:tcW w:w="2193" w:type="dxa"/>
            <w:tcBorders>
              <w:left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2334" w:type="dxa"/>
            <w:tcBorders>
              <w:left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2193" w:type="dxa"/>
            <w:tcBorders>
              <w:left w:val="single" w:color="auto" w:sz="2" w:space="0"/>
              <w:right w:val="single" w:color="auto" w:sz="2" w:space="0"/>
            </w:tcBorders>
          </w:tcPr>
          <w:p>
            <w:pPr>
              <w:spacing w:beforeLines="50" w:afterLines="50" w:line="360" w:lineRule="auto"/>
              <w:jc w:val="center"/>
              <w:rPr>
                <w:rFonts w:ascii="仿宋_GB2312" w:hAnsi="宋体" w:eastAsia="仿宋_GB2312"/>
                <w:color w:val="auto"/>
                <w:sz w:val="24"/>
              </w:rPr>
            </w:pPr>
          </w:p>
        </w:tc>
        <w:tc>
          <w:tcPr>
            <w:tcW w:w="1891" w:type="dxa"/>
            <w:tcBorders>
              <w:left w:val="single" w:color="auto" w:sz="2" w:space="0"/>
              <w:right w:val="single" w:color="auto" w:sz="12" w:space="0"/>
            </w:tcBorders>
            <w:vAlign w:val="center"/>
          </w:tcPr>
          <w:p>
            <w:pPr>
              <w:spacing w:beforeLines="50" w:afterLines="50" w:line="360" w:lineRule="auto"/>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1" w:hRule="exact"/>
        </w:trPr>
        <w:tc>
          <w:tcPr>
            <w:tcW w:w="1186" w:type="dxa"/>
            <w:tcBorders>
              <w:left w:val="single" w:color="auto" w:sz="12" w:space="0"/>
            </w:tcBorders>
            <w:vAlign w:val="center"/>
          </w:tcPr>
          <w:p>
            <w:pPr>
              <w:spacing w:beforeLines="50" w:afterLines="50" w:line="360" w:lineRule="auto"/>
              <w:jc w:val="center"/>
              <w:rPr>
                <w:rFonts w:ascii="仿宋_GB2312" w:hAnsi="宋体" w:eastAsia="仿宋_GB2312"/>
                <w:color w:val="auto"/>
                <w:sz w:val="24"/>
              </w:rPr>
            </w:pPr>
          </w:p>
        </w:tc>
        <w:tc>
          <w:tcPr>
            <w:tcW w:w="2193" w:type="dxa"/>
            <w:tcBorders>
              <w:left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2334" w:type="dxa"/>
            <w:tcBorders>
              <w:left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2193" w:type="dxa"/>
            <w:tcBorders>
              <w:left w:val="single" w:color="auto" w:sz="2" w:space="0"/>
              <w:right w:val="single" w:color="auto" w:sz="2" w:space="0"/>
            </w:tcBorders>
          </w:tcPr>
          <w:p>
            <w:pPr>
              <w:spacing w:beforeLines="50" w:afterLines="50" w:line="360" w:lineRule="auto"/>
              <w:jc w:val="center"/>
              <w:rPr>
                <w:rFonts w:ascii="仿宋_GB2312" w:hAnsi="宋体" w:eastAsia="仿宋_GB2312"/>
                <w:color w:val="auto"/>
                <w:sz w:val="24"/>
              </w:rPr>
            </w:pPr>
          </w:p>
        </w:tc>
        <w:tc>
          <w:tcPr>
            <w:tcW w:w="1891" w:type="dxa"/>
            <w:tcBorders>
              <w:left w:val="single" w:color="auto" w:sz="2" w:space="0"/>
              <w:right w:val="single" w:color="auto" w:sz="12" w:space="0"/>
            </w:tcBorders>
            <w:vAlign w:val="center"/>
          </w:tcPr>
          <w:p>
            <w:pPr>
              <w:spacing w:beforeLines="50" w:afterLines="50" w:line="360" w:lineRule="auto"/>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1" w:hRule="exact"/>
        </w:trPr>
        <w:tc>
          <w:tcPr>
            <w:tcW w:w="1186" w:type="dxa"/>
            <w:tcBorders>
              <w:top w:val="single" w:color="auto" w:sz="2" w:space="0"/>
              <w:left w:val="single" w:color="auto" w:sz="12" w:space="0"/>
              <w:bottom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2193" w:type="dxa"/>
            <w:tcBorders>
              <w:top w:val="single" w:color="auto" w:sz="2" w:space="0"/>
              <w:left w:val="single" w:color="auto" w:sz="2" w:space="0"/>
              <w:bottom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2334" w:type="dxa"/>
            <w:tcBorders>
              <w:top w:val="single" w:color="auto" w:sz="2" w:space="0"/>
              <w:left w:val="single" w:color="auto" w:sz="2" w:space="0"/>
              <w:bottom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2193" w:type="dxa"/>
            <w:tcBorders>
              <w:top w:val="single" w:color="auto" w:sz="2" w:space="0"/>
              <w:left w:val="single" w:color="auto" w:sz="2" w:space="0"/>
              <w:bottom w:val="single" w:color="auto" w:sz="2" w:space="0"/>
              <w:right w:val="single" w:color="auto" w:sz="2" w:space="0"/>
            </w:tcBorders>
          </w:tcPr>
          <w:p>
            <w:pPr>
              <w:spacing w:beforeLines="50" w:afterLines="50" w:line="360" w:lineRule="auto"/>
              <w:jc w:val="center"/>
              <w:rPr>
                <w:rFonts w:ascii="仿宋_GB2312" w:hAnsi="宋体" w:eastAsia="仿宋_GB2312"/>
                <w:color w:val="auto"/>
                <w:sz w:val="24"/>
              </w:rPr>
            </w:pPr>
          </w:p>
        </w:tc>
        <w:tc>
          <w:tcPr>
            <w:tcW w:w="1891" w:type="dxa"/>
            <w:tcBorders>
              <w:top w:val="single" w:color="auto" w:sz="2" w:space="0"/>
              <w:left w:val="single" w:color="auto" w:sz="2" w:space="0"/>
              <w:bottom w:val="single" w:color="auto" w:sz="2" w:space="0"/>
              <w:right w:val="single" w:color="auto" w:sz="12" w:space="0"/>
            </w:tcBorders>
            <w:vAlign w:val="center"/>
          </w:tcPr>
          <w:p>
            <w:pPr>
              <w:spacing w:beforeLines="50" w:afterLines="50" w:line="360" w:lineRule="auto"/>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trPr>
        <w:tc>
          <w:tcPr>
            <w:tcW w:w="1186" w:type="dxa"/>
            <w:tcBorders>
              <w:top w:val="single" w:color="auto" w:sz="2" w:space="0"/>
              <w:left w:val="single" w:color="auto" w:sz="12" w:space="0"/>
              <w:bottom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2193" w:type="dxa"/>
            <w:tcBorders>
              <w:top w:val="single" w:color="auto" w:sz="2" w:space="0"/>
              <w:left w:val="single" w:color="auto" w:sz="2" w:space="0"/>
              <w:bottom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2334" w:type="dxa"/>
            <w:tcBorders>
              <w:top w:val="single" w:color="auto" w:sz="2" w:space="0"/>
              <w:left w:val="single" w:color="auto" w:sz="2" w:space="0"/>
              <w:bottom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2193" w:type="dxa"/>
            <w:tcBorders>
              <w:top w:val="single" w:color="auto" w:sz="2" w:space="0"/>
              <w:left w:val="single" w:color="auto" w:sz="2" w:space="0"/>
              <w:bottom w:val="single" w:color="auto" w:sz="2" w:space="0"/>
              <w:right w:val="single" w:color="auto" w:sz="2" w:space="0"/>
            </w:tcBorders>
          </w:tcPr>
          <w:p>
            <w:pPr>
              <w:spacing w:beforeLines="50" w:afterLines="50" w:line="360" w:lineRule="auto"/>
              <w:jc w:val="center"/>
              <w:rPr>
                <w:rFonts w:ascii="仿宋_GB2312" w:hAnsi="宋体" w:eastAsia="仿宋_GB2312"/>
                <w:color w:val="auto"/>
                <w:sz w:val="24"/>
              </w:rPr>
            </w:pPr>
          </w:p>
        </w:tc>
        <w:tc>
          <w:tcPr>
            <w:tcW w:w="1891" w:type="dxa"/>
            <w:tcBorders>
              <w:top w:val="single" w:color="auto" w:sz="2" w:space="0"/>
              <w:left w:val="single" w:color="auto" w:sz="2" w:space="0"/>
              <w:bottom w:val="single" w:color="auto" w:sz="2" w:space="0"/>
              <w:right w:val="single" w:color="auto" w:sz="12" w:space="0"/>
            </w:tcBorders>
            <w:vAlign w:val="center"/>
          </w:tcPr>
          <w:p>
            <w:pPr>
              <w:spacing w:beforeLines="50" w:afterLines="50" w:line="360" w:lineRule="auto"/>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trPr>
        <w:tc>
          <w:tcPr>
            <w:tcW w:w="1186" w:type="dxa"/>
            <w:tcBorders>
              <w:top w:val="single" w:color="auto" w:sz="2" w:space="0"/>
              <w:left w:val="single" w:color="auto" w:sz="12" w:space="0"/>
              <w:bottom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2193" w:type="dxa"/>
            <w:tcBorders>
              <w:top w:val="single" w:color="auto" w:sz="2" w:space="0"/>
              <w:left w:val="single" w:color="auto" w:sz="2" w:space="0"/>
              <w:bottom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2334" w:type="dxa"/>
            <w:tcBorders>
              <w:top w:val="single" w:color="auto" w:sz="2" w:space="0"/>
              <w:left w:val="single" w:color="auto" w:sz="2" w:space="0"/>
              <w:bottom w:val="single" w:color="auto" w:sz="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2193" w:type="dxa"/>
            <w:tcBorders>
              <w:top w:val="single" w:color="auto" w:sz="2" w:space="0"/>
              <w:left w:val="single" w:color="auto" w:sz="2" w:space="0"/>
              <w:bottom w:val="single" w:color="auto" w:sz="2" w:space="0"/>
              <w:right w:val="single" w:color="auto" w:sz="2" w:space="0"/>
            </w:tcBorders>
          </w:tcPr>
          <w:p>
            <w:pPr>
              <w:spacing w:beforeLines="50" w:afterLines="50" w:line="360" w:lineRule="auto"/>
              <w:jc w:val="center"/>
              <w:rPr>
                <w:rFonts w:ascii="仿宋_GB2312" w:hAnsi="宋体" w:eastAsia="仿宋_GB2312"/>
                <w:color w:val="auto"/>
                <w:sz w:val="24"/>
              </w:rPr>
            </w:pPr>
          </w:p>
        </w:tc>
        <w:tc>
          <w:tcPr>
            <w:tcW w:w="1891" w:type="dxa"/>
            <w:tcBorders>
              <w:top w:val="single" w:color="auto" w:sz="2" w:space="0"/>
              <w:left w:val="single" w:color="auto" w:sz="2" w:space="0"/>
              <w:bottom w:val="single" w:color="auto" w:sz="2" w:space="0"/>
              <w:right w:val="single" w:color="auto" w:sz="12" w:space="0"/>
            </w:tcBorders>
            <w:vAlign w:val="center"/>
          </w:tcPr>
          <w:p>
            <w:pPr>
              <w:spacing w:beforeLines="50" w:afterLines="50" w:line="360" w:lineRule="auto"/>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trPr>
        <w:tc>
          <w:tcPr>
            <w:tcW w:w="1186" w:type="dxa"/>
            <w:tcBorders>
              <w:top w:val="single" w:color="auto" w:sz="2" w:space="0"/>
              <w:left w:val="single" w:color="auto" w:sz="12" w:space="0"/>
              <w:bottom w:val="single" w:color="auto" w:sz="12" w:space="0"/>
            </w:tcBorders>
            <w:vAlign w:val="center"/>
          </w:tcPr>
          <w:p>
            <w:pPr>
              <w:spacing w:beforeLines="50" w:afterLines="50" w:line="360" w:lineRule="auto"/>
              <w:jc w:val="center"/>
              <w:rPr>
                <w:rFonts w:ascii="仿宋_GB2312" w:hAnsi="宋体" w:eastAsia="仿宋_GB2312"/>
                <w:color w:val="auto"/>
                <w:sz w:val="24"/>
              </w:rPr>
            </w:pPr>
          </w:p>
        </w:tc>
        <w:tc>
          <w:tcPr>
            <w:tcW w:w="2193" w:type="dxa"/>
            <w:tcBorders>
              <w:top w:val="single" w:color="auto" w:sz="2" w:space="0"/>
              <w:left w:val="single" w:color="auto" w:sz="2" w:space="0"/>
              <w:bottom w:val="single" w:color="auto" w:sz="1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2334" w:type="dxa"/>
            <w:tcBorders>
              <w:top w:val="single" w:color="auto" w:sz="2" w:space="0"/>
              <w:left w:val="single" w:color="auto" w:sz="2" w:space="0"/>
              <w:bottom w:val="single" w:color="auto" w:sz="12" w:space="0"/>
              <w:right w:val="single" w:color="auto" w:sz="2" w:space="0"/>
            </w:tcBorders>
            <w:vAlign w:val="center"/>
          </w:tcPr>
          <w:p>
            <w:pPr>
              <w:spacing w:beforeLines="50" w:afterLines="50" w:line="360" w:lineRule="auto"/>
              <w:jc w:val="center"/>
              <w:rPr>
                <w:rFonts w:ascii="仿宋_GB2312" w:hAnsi="宋体" w:eastAsia="仿宋_GB2312"/>
                <w:color w:val="auto"/>
                <w:sz w:val="24"/>
              </w:rPr>
            </w:pPr>
          </w:p>
        </w:tc>
        <w:tc>
          <w:tcPr>
            <w:tcW w:w="2193" w:type="dxa"/>
            <w:tcBorders>
              <w:top w:val="single" w:color="auto" w:sz="2" w:space="0"/>
              <w:left w:val="single" w:color="auto" w:sz="2" w:space="0"/>
              <w:bottom w:val="single" w:color="auto" w:sz="12" w:space="0"/>
              <w:right w:val="single" w:color="auto" w:sz="2" w:space="0"/>
            </w:tcBorders>
          </w:tcPr>
          <w:p>
            <w:pPr>
              <w:spacing w:beforeLines="50" w:afterLines="50" w:line="360" w:lineRule="auto"/>
              <w:jc w:val="center"/>
              <w:rPr>
                <w:rFonts w:ascii="仿宋_GB2312" w:hAnsi="宋体" w:eastAsia="仿宋_GB2312"/>
                <w:color w:val="auto"/>
                <w:sz w:val="24"/>
              </w:rPr>
            </w:pPr>
          </w:p>
        </w:tc>
        <w:tc>
          <w:tcPr>
            <w:tcW w:w="1891" w:type="dxa"/>
            <w:tcBorders>
              <w:top w:val="single" w:color="auto" w:sz="2" w:space="0"/>
              <w:left w:val="single" w:color="auto" w:sz="2" w:space="0"/>
              <w:bottom w:val="single" w:color="auto" w:sz="12" w:space="0"/>
              <w:right w:val="single" w:color="auto" w:sz="12" w:space="0"/>
            </w:tcBorders>
            <w:vAlign w:val="center"/>
          </w:tcPr>
          <w:p>
            <w:pPr>
              <w:spacing w:beforeLines="50" w:afterLines="50" w:line="360" w:lineRule="auto"/>
              <w:jc w:val="center"/>
              <w:rPr>
                <w:rFonts w:ascii="仿宋_GB2312" w:hAnsi="宋体" w:eastAsia="仿宋_GB2312"/>
                <w:color w:val="auto"/>
                <w:sz w:val="24"/>
              </w:rPr>
            </w:pPr>
          </w:p>
        </w:tc>
      </w:tr>
    </w:tbl>
    <w:p>
      <w:pPr>
        <w:pStyle w:val="2"/>
        <w:rPr>
          <w:rFonts w:ascii="仿宋_GB2312" w:eastAsia="仿宋_GB2312"/>
          <w:color w:val="auto"/>
          <w:sz w:val="24"/>
        </w:rPr>
      </w:pPr>
    </w:p>
    <w:p>
      <w:pPr>
        <w:snapToGrid w:val="0"/>
        <w:spacing w:line="640" w:lineRule="exact"/>
        <w:ind w:firstLine="560" w:firstLineChars="200"/>
        <w:rPr>
          <w:rFonts w:ascii="仿宋_GB2312" w:hAnsi="宋体" w:eastAsia="仿宋_GB2312" w:cs="宋体"/>
          <w:color w:val="auto"/>
          <w:sz w:val="28"/>
          <w:szCs w:val="28"/>
        </w:rPr>
      </w:pPr>
      <w:r>
        <w:rPr>
          <w:rFonts w:hint="eastAsia" w:ascii="仿宋_GB2312" w:hAnsi="宋体" w:eastAsia="仿宋_GB2312" w:cs="宋体"/>
          <w:color w:val="auto"/>
          <w:sz w:val="28"/>
          <w:szCs w:val="28"/>
        </w:rPr>
        <w:t xml:space="preserve">  投标人（全称）：</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（公章）</w:t>
      </w:r>
    </w:p>
    <w:p>
      <w:pPr>
        <w:snapToGrid w:val="0"/>
        <w:spacing w:line="640" w:lineRule="exact"/>
        <w:ind w:firstLine="851" w:firstLineChars="304"/>
        <w:rPr>
          <w:rFonts w:ascii="仿宋_GB2312" w:hAnsi="宋体" w:eastAsia="仿宋_GB2312" w:cs="宋体"/>
          <w:color w:val="auto"/>
          <w:sz w:val="28"/>
          <w:szCs w:val="28"/>
        </w:rPr>
      </w:pPr>
      <w:r>
        <w:rPr>
          <w:rFonts w:hint="eastAsia" w:ascii="仿宋_GB2312" w:hAnsi="宋体" w:eastAsia="仿宋_GB2312" w:cs="宋体"/>
          <w:color w:val="auto"/>
          <w:sz w:val="28"/>
          <w:szCs w:val="28"/>
        </w:rPr>
        <w:t xml:space="preserve">法定代表人或其授权委托人：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（签字或盖章）</w:t>
      </w:r>
    </w:p>
    <w:p>
      <w:pPr>
        <w:autoSpaceDE w:val="0"/>
        <w:autoSpaceDN w:val="0"/>
        <w:adjustRightInd w:val="0"/>
        <w:spacing w:line="560" w:lineRule="exact"/>
        <w:ind w:firstLine="840" w:firstLineChars="300"/>
        <w:rPr>
          <w:rFonts w:ascii="仿宋_GB2312" w:hAnsi="宋体" w:eastAsia="仿宋_GB2312"/>
          <w:color w:val="auto"/>
          <w:sz w:val="28"/>
          <w:szCs w:val="28"/>
        </w:rPr>
      </w:pPr>
      <w:r>
        <w:rPr>
          <w:rFonts w:hint="eastAsia" w:ascii="仿宋_GB2312" w:eastAsia="仿宋_GB2312"/>
          <w:color w:val="auto"/>
          <w:sz w:val="28"/>
          <w:szCs w:val="28"/>
        </w:rPr>
        <w:t>日      期：</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年</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月</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日</w:t>
      </w:r>
    </w:p>
    <w:p>
      <w:pPr>
        <w:snapToGrid w:val="0"/>
        <w:spacing w:line="640" w:lineRule="exact"/>
        <w:ind w:firstLine="480" w:firstLineChars="200"/>
        <w:rPr>
          <w:rFonts w:ascii="仿宋_GB2312" w:hAnsi="仿宋" w:eastAsia="仿宋_GB2312" w:cs="宋体"/>
          <w:color w:val="auto"/>
          <w:sz w:val="24"/>
        </w:rPr>
      </w:pPr>
    </w:p>
    <w:p>
      <w:pPr>
        <w:adjustRightInd w:val="0"/>
        <w:snapToGrid w:val="0"/>
        <w:spacing w:line="360" w:lineRule="auto"/>
        <w:ind w:right="1050" w:rightChars="500" w:firstLine="817" w:firstLineChars="227"/>
        <w:jc w:val="center"/>
        <w:rPr>
          <w:rFonts w:ascii="黑体" w:hAnsi="宋体" w:eastAsia="黑体"/>
          <w:color w:val="auto"/>
          <w:sz w:val="36"/>
          <w:szCs w:val="36"/>
        </w:rPr>
        <w:sectPr>
          <w:pgSz w:w="11906" w:h="16838"/>
          <w:pgMar w:top="1440" w:right="1080" w:bottom="1440" w:left="1080" w:header="851" w:footer="992" w:gutter="0"/>
          <w:cols w:space="720" w:num="1"/>
          <w:docGrid w:linePitch="312" w:charSpace="0"/>
        </w:sectPr>
      </w:pPr>
    </w:p>
    <w:p>
      <w:pPr>
        <w:pStyle w:val="16"/>
        <w:spacing w:beforeLines="100" w:afterLines="100" w:line="360" w:lineRule="auto"/>
        <w:jc w:val="center"/>
        <w:rPr>
          <w:rFonts w:ascii="黑体" w:hAnsi="宋体" w:eastAsia="黑体"/>
          <w:color w:val="auto"/>
          <w:sz w:val="36"/>
          <w:szCs w:val="36"/>
        </w:rPr>
      </w:pPr>
      <w:r>
        <w:rPr>
          <w:rFonts w:hint="eastAsia" w:ascii="黑体" w:hAnsi="宋体" w:eastAsia="黑体"/>
          <w:color w:val="auto"/>
          <w:sz w:val="36"/>
          <w:szCs w:val="36"/>
        </w:rPr>
        <w:t>5、所供货物为节能产品政府采购品目清单范围内情况一览表</w:t>
      </w:r>
    </w:p>
    <w:tbl>
      <w:tblPr>
        <w:tblStyle w:val="24"/>
        <w:tblW w:w="0" w:type="auto"/>
        <w:tblInd w:w="0" w:type="dxa"/>
        <w:tblLayout w:type="fixed"/>
        <w:tblCellMar>
          <w:top w:w="0" w:type="dxa"/>
          <w:left w:w="108" w:type="dxa"/>
          <w:bottom w:w="0" w:type="dxa"/>
          <w:right w:w="108" w:type="dxa"/>
        </w:tblCellMar>
      </w:tblPr>
      <w:tblGrid>
        <w:gridCol w:w="975"/>
        <w:gridCol w:w="1418"/>
        <w:gridCol w:w="1259"/>
        <w:gridCol w:w="1276"/>
        <w:gridCol w:w="1276"/>
        <w:gridCol w:w="1275"/>
        <w:gridCol w:w="993"/>
        <w:gridCol w:w="1275"/>
        <w:gridCol w:w="1276"/>
        <w:gridCol w:w="1276"/>
        <w:gridCol w:w="1868"/>
      </w:tblGrid>
      <w:tr>
        <w:tblPrEx>
          <w:tblCellMar>
            <w:top w:w="0" w:type="dxa"/>
            <w:left w:w="108" w:type="dxa"/>
            <w:bottom w:w="0" w:type="dxa"/>
            <w:right w:w="108" w:type="dxa"/>
          </w:tblCellMar>
        </w:tblPrEx>
        <w:trPr>
          <w:trHeight w:val="612" w:hRule="atLeast"/>
        </w:trPr>
        <w:tc>
          <w:tcPr>
            <w:tcW w:w="975" w:type="dxa"/>
            <w:tcBorders>
              <w:top w:val="single" w:color="auto" w:sz="12" w:space="0"/>
              <w:left w:val="single" w:color="auto" w:sz="1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序号</w:t>
            </w:r>
          </w:p>
        </w:tc>
        <w:tc>
          <w:tcPr>
            <w:tcW w:w="1418" w:type="dxa"/>
            <w:tcBorders>
              <w:top w:val="single" w:color="auto" w:sz="12" w:space="0"/>
              <w:left w:val="nil"/>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货物名称</w:t>
            </w:r>
          </w:p>
        </w:tc>
        <w:tc>
          <w:tcPr>
            <w:tcW w:w="1259" w:type="dxa"/>
            <w:tcBorders>
              <w:top w:val="single" w:color="auto" w:sz="12"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品牌</w:t>
            </w:r>
          </w:p>
        </w:tc>
        <w:tc>
          <w:tcPr>
            <w:tcW w:w="1276" w:type="dxa"/>
            <w:tcBorders>
              <w:top w:val="single" w:color="auto" w:sz="12" w:space="0"/>
              <w:left w:val="single" w:color="auto" w:sz="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规格型号</w:t>
            </w:r>
          </w:p>
        </w:tc>
        <w:tc>
          <w:tcPr>
            <w:tcW w:w="1276" w:type="dxa"/>
            <w:tcBorders>
              <w:top w:val="single" w:color="auto" w:sz="12"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计量单位</w:t>
            </w:r>
          </w:p>
        </w:tc>
        <w:tc>
          <w:tcPr>
            <w:tcW w:w="1275" w:type="dxa"/>
            <w:tcBorders>
              <w:top w:val="single" w:color="auto" w:sz="12" w:space="0"/>
              <w:left w:val="single" w:color="auto" w:sz="4"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数量</w:t>
            </w:r>
          </w:p>
        </w:tc>
        <w:tc>
          <w:tcPr>
            <w:tcW w:w="993" w:type="dxa"/>
            <w:tcBorders>
              <w:top w:val="single" w:color="auto" w:sz="12"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单价</w:t>
            </w:r>
          </w:p>
        </w:tc>
        <w:tc>
          <w:tcPr>
            <w:tcW w:w="1275" w:type="dxa"/>
            <w:tcBorders>
              <w:top w:val="single" w:color="auto" w:sz="12"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金额（元）</w:t>
            </w:r>
          </w:p>
        </w:tc>
        <w:tc>
          <w:tcPr>
            <w:tcW w:w="1276" w:type="dxa"/>
            <w:tcBorders>
              <w:top w:val="single" w:color="auto" w:sz="12"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制造商</w:t>
            </w:r>
          </w:p>
        </w:tc>
        <w:tc>
          <w:tcPr>
            <w:tcW w:w="1276" w:type="dxa"/>
            <w:tcBorders>
              <w:top w:val="single" w:color="auto" w:sz="12" w:space="0"/>
              <w:left w:val="single" w:color="auto" w:sz="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所属行业</w:t>
            </w:r>
          </w:p>
        </w:tc>
        <w:tc>
          <w:tcPr>
            <w:tcW w:w="1868" w:type="dxa"/>
            <w:tcBorders>
              <w:top w:val="single" w:color="auto" w:sz="12" w:space="0"/>
              <w:left w:val="single" w:color="auto" w:sz="4" w:space="0"/>
              <w:bottom w:val="single" w:color="auto" w:sz="4" w:space="0"/>
              <w:right w:val="single" w:color="auto" w:sz="12"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节能产品认证证书编号</w:t>
            </w:r>
          </w:p>
        </w:tc>
      </w:tr>
      <w:tr>
        <w:tblPrEx>
          <w:tblCellMar>
            <w:top w:w="0" w:type="dxa"/>
            <w:left w:w="108" w:type="dxa"/>
            <w:bottom w:w="0" w:type="dxa"/>
            <w:right w:w="108" w:type="dxa"/>
          </w:tblCellMar>
        </w:tblPrEx>
        <w:trPr>
          <w:trHeight w:val="561" w:hRule="atLeast"/>
        </w:trPr>
        <w:tc>
          <w:tcPr>
            <w:tcW w:w="975" w:type="dxa"/>
            <w:tcBorders>
              <w:top w:val="single" w:color="auto" w:sz="4" w:space="0"/>
              <w:left w:val="single" w:color="auto" w:sz="1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1</w:t>
            </w:r>
          </w:p>
        </w:tc>
        <w:tc>
          <w:tcPr>
            <w:tcW w:w="1418" w:type="dxa"/>
            <w:tcBorders>
              <w:top w:val="single" w:color="auto" w:sz="4" w:space="0"/>
              <w:left w:val="nil"/>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59"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single" w:color="auto" w:sz="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p>
        </w:tc>
        <w:tc>
          <w:tcPr>
            <w:tcW w:w="1275" w:type="dxa"/>
            <w:tcBorders>
              <w:top w:val="single" w:color="auto" w:sz="4" w:space="0"/>
              <w:left w:val="single" w:color="auto" w:sz="4"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993"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5"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rPr>
            </w:pPr>
          </w:p>
        </w:tc>
        <w:tc>
          <w:tcPr>
            <w:tcW w:w="1276" w:type="dxa"/>
            <w:tcBorders>
              <w:top w:val="single" w:color="auto" w:sz="4" w:space="0"/>
              <w:left w:val="single" w:color="auto" w:sz="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p>
        </w:tc>
        <w:tc>
          <w:tcPr>
            <w:tcW w:w="1868" w:type="dxa"/>
            <w:tcBorders>
              <w:top w:val="single" w:color="auto" w:sz="4" w:space="0"/>
              <w:left w:val="single" w:color="auto" w:sz="4" w:space="0"/>
              <w:bottom w:val="single" w:color="auto" w:sz="4" w:space="0"/>
              <w:right w:val="single" w:color="auto" w:sz="12" w:space="0"/>
            </w:tcBorders>
            <w:vAlign w:val="center"/>
          </w:tcPr>
          <w:p>
            <w:pPr>
              <w:spacing w:line="500" w:lineRule="exact"/>
              <w:jc w:val="center"/>
              <w:rPr>
                <w:rFonts w:ascii="仿宋_GB2312" w:hAnsi="宋体" w:eastAsia="仿宋_GB2312" w:cs="宋体"/>
                <w:color w:val="auto"/>
                <w:sz w:val="24"/>
              </w:rPr>
            </w:pPr>
          </w:p>
        </w:tc>
      </w:tr>
      <w:tr>
        <w:tblPrEx>
          <w:tblCellMar>
            <w:top w:w="0" w:type="dxa"/>
            <w:left w:w="108" w:type="dxa"/>
            <w:bottom w:w="0" w:type="dxa"/>
            <w:right w:w="108" w:type="dxa"/>
          </w:tblCellMar>
        </w:tblPrEx>
        <w:trPr>
          <w:trHeight w:val="729" w:hRule="atLeast"/>
        </w:trPr>
        <w:tc>
          <w:tcPr>
            <w:tcW w:w="975" w:type="dxa"/>
            <w:tcBorders>
              <w:top w:val="single" w:color="auto" w:sz="4" w:space="0"/>
              <w:left w:val="single" w:color="auto" w:sz="1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2</w:t>
            </w:r>
          </w:p>
        </w:tc>
        <w:tc>
          <w:tcPr>
            <w:tcW w:w="1418" w:type="dxa"/>
            <w:tcBorders>
              <w:top w:val="single" w:color="auto" w:sz="4" w:space="0"/>
              <w:left w:val="nil"/>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59"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single" w:color="auto" w:sz="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p>
        </w:tc>
        <w:tc>
          <w:tcPr>
            <w:tcW w:w="1275" w:type="dxa"/>
            <w:tcBorders>
              <w:top w:val="single" w:color="auto" w:sz="4" w:space="0"/>
              <w:left w:val="single" w:color="auto" w:sz="4"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993"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5"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rPr>
            </w:pPr>
          </w:p>
        </w:tc>
        <w:tc>
          <w:tcPr>
            <w:tcW w:w="1276" w:type="dxa"/>
            <w:tcBorders>
              <w:top w:val="single" w:color="auto" w:sz="4" w:space="0"/>
              <w:left w:val="single" w:color="auto" w:sz="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p>
        </w:tc>
        <w:tc>
          <w:tcPr>
            <w:tcW w:w="1868" w:type="dxa"/>
            <w:tcBorders>
              <w:top w:val="single" w:color="auto" w:sz="4" w:space="0"/>
              <w:left w:val="single" w:color="auto" w:sz="4" w:space="0"/>
              <w:bottom w:val="single" w:color="auto" w:sz="4" w:space="0"/>
              <w:right w:val="single" w:color="auto" w:sz="12" w:space="0"/>
            </w:tcBorders>
            <w:vAlign w:val="center"/>
          </w:tcPr>
          <w:p>
            <w:pPr>
              <w:spacing w:line="500" w:lineRule="exact"/>
              <w:jc w:val="center"/>
              <w:rPr>
                <w:rFonts w:ascii="仿宋_GB2312" w:hAnsi="宋体" w:eastAsia="仿宋_GB2312" w:cs="宋体"/>
                <w:color w:val="auto"/>
                <w:sz w:val="24"/>
              </w:rPr>
            </w:pPr>
          </w:p>
        </w:tc>
      </w:tr>
      <w:tr>
        <w:tblPrEx>
          <w:tblCellMar>
            <w:top w:w="0" w:type="dxa"/>
            <w:left w:w="108" w:type="dxa"/>
            <w:bottom w:w="0" w:type="dxa"/>
            <w:right w:w="108" w:type="dxa"/>
          </w:tblCellMar>
        </w:tblPrEx>
        <w:trPr>
          <w:trHeight w:val="750" w:hRule="atLeast"/>
        </w:trPr>
        <w:tc>
          <w:tcPr>
            <w:tcW w:w="975" w:type="dxa"/>
            <w:tcBorders>
              <w:top w:val="single" w:color="auto" w:sz="4" w:space="0"/>
              <w:left w:val="single" w:color="auto" w:sz="1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w:t>
            </w:r>
          </w:p>
        </w:tc>
        <w:tc>
          <w:tcPr>
            <w:tcW w:w="1418" w:type="dxa"/>
            <w:tcBorders>
              <w:top w:val="single" w:color="auto" w:sz="4" w:space="0"/>
              <w:left w:val="nil"/>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59"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single" w:color="auto" w:sz="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p>
        </w:tc>
        <w:tc>
          <w:tcPr>
            <w:tcW w:w="1275" w:type="dxa"/>
            <w:tcBorders>
              <w:top w:val="single" w:color="auto" w:sz="4" w:space="0"/>
              <w:left w:val="single" w:color="auto" w:sz="4"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993"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5"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single" w:color="auto" w:sz="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u w:val="single"/>
              </w:rPr>
            </w:pPr>
          </w:p>
        </w:tc>
        <w:tc>
          <w:tcPr>
            <w:tcW w:w="1868" w:type="dxa"/>
            <w:tcBorders>
              <w:top w:val="single" w:color="auto" w:sz="4" w:space="0"/>
              <w:left w:val="single" w:color="auto" w:sz="4" w:space="0"/>
              <w:bottom w:val="single" w:color="auto" w:sz="4" w:space="0"/>
              <w:right w:val="single" w:color="auto" w:sz="12" w:space="0"/>
            </w:tcBorders>
            <w:vAlign w:val="center"/>
          </w:tcPr>
          <w:p>
            <w:pPr>
              <w:spacing w:line="500" w:lineRule="exact"/>
              <w:jc w:val="center"/>
              <w:rPr>
                <w:rFonts w:ascii="仿宋_GB2312" w:hAnsi="宋体" w:eastAsia="仿宋_GB2312" w:cs="宋体"/>
                <w:color w:val="auto"/>
                <w:sz w:val="24"/>
                <w:u w:val="single"/>
              </w:rPr>
            </w:pPr>
          </w:p>
        </w:tc>
      </w:tr>
      <w:tr>
        <w:tblPrEx>
          <w:tblCellMar>
            <w:top w:w="0" w:type="dxa"/>
            <w:left w:w="108" w:type="dxa"/>
            <w:bottom w:w="0" w:type="dxa"/>
            <w:right w:w="108" w:type="dxa"/>
          </w:tblCellMar>
        </w:tblPrEx>
        <w:trPr>
          <w:trHeight w:val="750" w:hRule="atLeast"/>
        </w:trPr>
        <w:tc>
          <w:tcPr>
            <w:tcW w:w="975" w:type="dxa"/>
            <w:tcBorders>
              <w:top w:val="single" w:color="auto" w:sz="4" w:space="0"/>
              <w:left w:val="single" w:color="auto" w:sz="12" w:space="0"/>
              <w:bottom w:val="single" w:color="auto" w:sz="12" w:space="0"/>
              <w:right w:val="single" w:color="auto" w:sz="4"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合计</w:t>
            </w:r>
          </w:p>
        </w:tc>
        <w:tc>
          <w:tcPr>
            <w:tcW w:w="1418" w:type="dxa"/>
            <w:tcBorders>
              <w:top w:val="single" w:color="auto" w:sz="4" w:space="0"/>
              <w:left w:val="nil"/>
              <w:bottom w:val="single" w:color="auto" w:sz="12" w:space="0"/>
              <w:right w:val="single" w:color="auto" w:sz="2" w:space="0"/>
            </w:tcBorders>
            <w:vAlign w:val="center"/>
          </w:tcPr>
          <w:p>
            <w:pPr>
              <w:spacing w:line="500" w:lineRule="exact"/>
              <w:jc w:val="center"/>
              <w:rPr>
                <w:rFonts w:ascii="仿宋_GB2312" w:hAnsi="宋体" w:eastAsia="仿宋_GB2312" w:cs="宋体"/>
                <w:color w:val="auto"/>
                <w:sz w:val="24"/>
              </w:rPr>
            </w:pPr>
          </w:p>
        </w:tc>
        <w:tc>
          <w:tcPr>
            <w:tcW w:w="1259" w:type="dxa"/>
            <w:tcBorders>
              <w:top w:val="single" w:color="auto" w:sz="4" w:space="0"/>
              <w:left w:val="single" w:color="auto" w:sz="2" w:space="0"/>
              <w:bottom w:val="single" w:color="auto" w:sz="12"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single" w:color="auto" w:sz="2" w:space="0"/>
              <w:bottom w:val="single" w:color="auto" w:sz="12" w:space="0"/>
              <w:right w:val="single" w:color="auto" w:sz="4"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nil"/>
              <w:bottom w:val="single" w:color="auto" w:sz="12" w:space="0"/>
              <w:right w:val="single" w:color="auto" w:sz="4" w:space="0"/>
            </w:tcBorders>
            <w:vAlign w:val="center"/>
          </w:tcPr>
          <w:p>
            <w:pPr>
              <w:spacing w:line="500" w:lineRule="exact"/>
              <w:jc w:val="center"/>
              <w:rPr>
                <w:rFonts w:ascii="仿宋_GB2312" w:hAnsi="宋体" w:eastAsia="仿宋_GB2312" w:cs="宋体"/>
                <w:color w:val="auto"/>
                <w:sz w:val="24"/>
              </w:rPr>
            </w:pPr>
          </w:p>
        </w:tc>
        <w:tc>
          <w:tcPr>
            <w:tcW w:w="1275" w:type="dxa"/>
            <w:tcBorders>
              <w:top w:val="single" w:color="auto" w:sz="4" w:space="0"/>
              <w:left w:val="single" w:color="auto" w:sz="4" w:space="0"/>
              <w:bottom w:val="single" w:color="auto" w:sz="12" w:space="0"/>
              <w:right w:val="single" w:color="auto" w:sz="2" w:space="0"/>
            </w:tcBorders>
            <w:vAlign w:val="center"/>
          </w:tcPr>
          <w:p>
            <w:pPr>
              <w:spacing w:line="500" w:lineRule="exact"/>
              <w:jc w:val="center"/>
              <w:rPr>
                <w:rFonts w:ascii="仿宋_GB2312" w:hAnsi="宋体" w:eastAsia="仿宋_GB2312" w:cs="宋体"/>
                <w:color w:val="auto"/>
                <w:sz w:val="24"/>
              </w:rPr>
            </w:pPr>
          </w:p>
        </w:tc>
        <w:tc>
          <w:tcPr>
            <w:tcW w:w="993" w:type="dxa"/>
            <w:tcBorders>
              <w:top w:val="single" w:color="auto" w:sz="4" w:space="0"/>
              <w:left w:val="single" w:color="auto" w:sz="2" w:space="0"/>
              <w:bottom w:val="single" w:color="auto" w:sz="12"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5" w:type="dxa"/>
            <w:tcBorders>
              <w:top w:val="single" w:color="auto" w:sz="4" w:space="0"/>
              <w:left w:val="single" w:color="auto" w:sz="2" w:space="0"/>
              <w:bottom w:val="single" w:color="auto" w:sz="12"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single" w:color="auto" w:sz="2" w:space="0"/>
              <w:bottom w:val="single" w:color="auto" w:sz="12"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single" w:color="auto" w:sz="2" w:space="0"/>
              <w:bottom w:val="single" w:color="auto" w:sz="12" w:space="0"/>
              <w:right w:val="single" w:color="auto" w:sz="4" w:space="0"/>
            </w:tcBorders>
            <w:vAlign w:val="center"/>
          </w:tcPr>
          <w:p>
            <w:pPr>
              <w:spacing w:line="500" w:lineRule="exact"/>
              <w:jc w:val="center"/>
              <w:rPr>
                <w:rFonts w:ascii="仿宋_GB2312" w:hAnsi="宋体" w:eastAsia="仿宋_GB2312" w:cs="宋体"/>
                <w:color w:val="auto"/>
                <w:sz w:val="24"/>
                <w:u w:val="single"/>
              </w:rPr>
            </w:pPr>
          </w:p>
        </w:tc>
        <w:tc>
          <w:tcPr>
            <w:tcW w:w="1868" w:type="dxa"/>
            <w:tcBorders>
              <w:top w:val="single" w:color="auto" w:sz="4" w:space="0"/>
              <w:left w:val="single" w:color="auto" w:sz="4" w:space="0"/>
              <w:bottom w:val="single" w:color="auto" w:sz="12" w:space="0"/>
              <w:right w:val="single" w:color="auto" w:sz="12" w:space="0"/>
            </w:tcBorders>
            <w:vAlign w:val="center"/>
          </w:tcPr>
          <w:p>
            <w:pPr>
              <w:spacing w:line="500" w:lineRule="exact"/>
              <w:jc w:val="center"/>
              <w:rPr>
                <w:rFonts w:ascii="仿宋_GB2312" w:hAnsi="宋体" w:eastAsia="仿宋_GB2312" w:cs="宋体"/>
                <w:color w:val="auto"/>
                <w:sz w:val="24"/>
                <w:u w:val="single"/>
              </w:rPr>
            </w:pPr>
          </w:p>
        </w:tc>
      </w:tr>
    </w:tbl>
    <w:p>
      <w:pPr>
        <w:spacing w:beforeLines="50" w:afterLines="50"/>
        <w:rPr>
          <w:rFonts w:ascii="仿宋_GB2312" w:hAnsi="宋体" w:eastAsia="仿宋_GB2312"/>
          <w:color w:val="auto"/>
          <w:sz w:val="24"/>
        </w:rPr>
      </w:pPr>
      <w:r>
        <w:rPr>
          <w:rFonts w:hint="eastAsia" w:ascii="仿宋_GB2312" w:hAnsi="宋体" w:eastAsia="仿宋_GB2312"/>
          <w:color w:val="auto"/>
          <w:sz w:val="24"/>
        </w:rPr>
        <w:t>附相关有效证明材料。</w:t>
      </w:r>
    </w:p>
    <w:p>
      <w:pPr>
        <w:spacing w:beforeLines="50" w:afterLines="50"/>
        <w:rPr>
          <w:rFonts w:ascii="仿宋_GB2312" w:hAnsi="宋体" w:eastAsia="仿宋_GB2312"/>
          <w:b/>
          <w:color w:val="auto"/>
          <w:sz w:val="24"/>
        </w:rPr>
      </w:pPr>
      <w:r>
        <w:rPr>
          <w:rFonts w:hint="eastAsia" w:ascii="仿宋_GB2312" w:hAnsi="宋体" w:eastAsia="仿宋_GB2312"/>
          <w:b/>
          <w:color w:val="auto"/>
          <w:sz w:val="24"/>
        </w:rPr>
        <w:t>若所供货物中无节能产品政府采购品目清单范围内产品的，可不填写此表。</w:t>
      </w:r>
    </w:p>
    <w:p>
      <w:pPr>
        <w:pStyle w:val="2"/>
        <w:rPr>
          <w:color w:val="auto"/>
        </w:rPr>
      </w:pPr>
    </w:p>
    <w:p>
      <w:pPr>
        <w:snapToGrid w:val="0"/>
        <w:spacing w:line="640" w:lineRule="exact"/>
        <w:ind w:firstLine="560" w:firstLineChars="200"/>
        <w:rPr>
          <w:rFonts w:ascii="仿宋_GB2312" w:hAnsi="宋体" w:eastAsia="仿宋_GB2312" w:cs="宋体"/>
          <w:color w:val="auto"/>
          <w:sz w:val="28"/>
          <w:szCs w:val="28"/>
        </w:rPr>
      </w:pPr>
      <w:r>
        <w:rPr>
          <w:rFonts w:hint="eastAsia" w:ascii="仿宋_GB2312" w:hAnsi="宋体" w:eastAsia="仿宋_GB2312" w:cs="宋体"/>
          <w:color w:val="auto"/>
          <w:sz w:val="28"/>
          <w:szCs w:val="28"/>
        </w:rPr>
        <w:t>投标人（全称）：</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（公章）</w:t>
      </w:r>
    </w:p>
    <w:p>
      <w:pPr>
        <w:snapToGrid w:val="0"/>
        <w:spacing w:line="640" w:lineRule="exact"/>
        <w:ind w:firstLine="560" w:firstLineChars="200"/>
        <w:rPr>
          <w:rFonts w:ascii="仿宋_GB2312" w:hAnsi="宋体" w:eastAsia="仿宋_GB2312" w:cs="宋体"/>
          <w:color w:val="auto"/>
          <w:sz w:val="28"/>
          <w:szCs w:val="28"/>
        </w:rPr>
      </w:pPr>
      <w:r>
        <w:rPr>
          <w:rFonts w:hint="eastAsia" w:ascii="仿宋_GB2312" w:hAnsi="宋体" w:eastAsia="仿宋_GB2312" w:cs="宋体"/>
          <w:color w:val="auto"/>
          <w:sz w:val="28"/>
          <w:szCs w:val="28"/>
        </w:rPr>
        <w:t xml:space="preserve">法定代表人或其授权委托人：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（签字或盖章）</w:t>
      </w:r>
    </w:p>
    <w:p>
      <w:pPr>
        <w:snapToGrid w:val="0"/>
        <w:spacing w:line="640" w:lineRule="exact"/>
        <w:ind w:firstLine="560" w:firstLineChars="200"/>
        <w:rPr>
          <w:rFonts w:ascii="仿宋_GB2312" w:hAnsi="宋体" w:eastAsia="仿宋_GB2312"/>
          <w:color w:val="auto"/>
          <w:sz w:val="28"/>
          <w:szCs w:val="28"/>
        </w:rPr>
      </w:pPr>
      <w:r>
        <w:rPr>
          <w:rFonts w:hint="eastAsia" w:ascii="仿宋_GB2312" w:eastAsia="仿宋_GB2312"/>
          <w:color w:val="auto"/>
          <w:sz w:val="28"/>
          <w:szCs w:val="28"/>
        </w:rPr>
        <w:t>日      期：</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年</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月</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日</w:t>
      </w:r>
    </w:p>
    <w:p>
      <w:pPr>
        <w:rPr>
          <w:color w:val="auto"/>
        </w:rPr>
      </w:pPr>
    </w:p>
    <w:p>
      <w:pPr>
        <w:pStyle w:val="2"/>
        <w:rPr>
          <w:color w:val="auto"/>
        </w:rPr>
        <w:sectPr>
          <w:pgSz w:w="16838" w:h="11906" w:orient="landscape"/>
          <w:pgMar w:top="1077" w:right="1440" w:bottom="1077" w:left="1440" w:header="851" w:footer="992" w:gutter="0"/>
          <w:cols w:space="720" w:num="1"/>
          <w:docGrid w:linePitch="312" w:charSpace="0"/>
        </w:sectPr>
      </w:pPr>
    </w:p>
    <w:p>
      <w:pPr>
        <w:pStyle w:val="16"/>
        <w:spacing w:beforeLines="100" w:afterLines="100" w:line="360" w:lineRule="auto"/>
        <w:jc w:val="center"/>
        <w:rPr>
          <w:rFonts w:ascii="黑体" w:hAnsi="宋体" w:eastAsia="黑体"/>
          <w:color w:val="auto"/>
          <w:sz w:val="36"/>
          <w:szCs w:val="36"/>
        </w:rPr>
      </w:pPr>
      <w:r>
        <w:rPr>
          <w:rFonts w:hint="eastAsia" w:ascii="黑体" w:hAnsi="宋体" w:eastAsia="黑体"/>
          <w:color w:val="auto"/>
          <w:sz w:val="36"/>
          <w:szCs w:val="36"/>
        </w:rPr>
        <w:t>6、所供货物为环境标志产品政府采购品目清单范围内情况一览表</w:t>
      </w:r>
    </w:p>
    <w:tbl>
      <w:tblPr>
        <w:tblStyle w:val="24"/>
        <w:tblW w:w="0" w:type="auto"/>
        <w:tblInd w:w="0" w:type="dxa"/>
        <w:tblLayout w:type="fixed"/>
        <w:tblCellMar>
          <w:top w:w="0" w:type="dxa"/>
          <w:left w:w="108" w:type="dxa"/>
          <w:bottom w:w="0" w:type="dxa"/>
          <w:right w:w="108" w:type="dxa"/>
        </w:tblCellMar>
      </w:tblPr>
      <w:tblGrid>
        <w:gridCol w:w="975"/>
        <w:gridCol w:w="1418"/>
        <w:gridCol w:w="1259"/>
        <w:gridCol w:w="1276"/>
        <w:gridCol w:w="1276"/>
        <w:gridCol w:w="1275"/>
        <w:gridCol w:w="993"/>
        <w:gridCol w:w="1275"/>
        <w:gridCol w:w="1276"/>
        <w:gridCol w:w="1276"/>
        <w:gridCol w:w="1868"/>
      </w:tblGrid>
      <w:tr>
        <w:tblPrEx>
          <w:tblCellMar>
            <w:top w:w="0" w:type="dxa"/>
            <w:left w:w="108" w:type="dxa"/>
            <w:bottom w:w="0" w:type="dxa"/>
            <w:right w:w="108" w:type="dxa"/>
          </w:tblCellMar>
        </w:tblPrEx>
        <w:trPr>
          <w:trHeight w:val="612" w:hRule="atLeast"/>
        </w:trPr>
        <w:tc>
          <w:tcPr>
            <w:tcW w:w="975" w:type="dxa"/>
            <w:tcBorders>
              <w:top w:val="single" w:color="auto" w:sz="12" w:space="0"/>
              <w:left w:val="single" w:color="auto" w:sz="1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序号</w:t>
            </w:r>
          </w:p>
        </w:tc>
        <w:tc>
          <w:tcPr>
            <w:tcW w:w="1418" w:type="dxa"/>
            <w:tcBorders>
              <w:top w:val="single" w:color="auto" w:sz="12" w:space="0"/>
              <w:left w:val="nil"/>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货物名称</w:t>
            </w:r>
          </w:p>
        </w:tc>
        <w:tc>
          <w:tcPr>
            <w:tcW w:w="1259" w:type="dxa"/>
            <w:tcBorders>
              <w:top w:val="single" w:color="auto" w:sz="12"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品牌</w:t>
            </w:r>
          </w:p>
        </w:tc>
        <w:tc>
          <w:tcPr>
            <w:tcW w:w="1276" w:type="dxa"/>
            <w:tcBorders>
              <w:top w:val="single" w:color="auto" w:sz="12" w:space="0"/>
              <w:left w:val="single" w:color="auto" w:sz="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规格型号</w:t>
            </w:r>
          </w:p>
        </w:tc>
        <w:tc>
          <w:tcPr>
            <w:tcW w:w="1276" w:type="dxa"/>
            <w:tcBorders>
              <w:top w:val="single" w:color="auto" w:sz="12"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计量单位</w:t>
            </w:r>
          </w:p>
        </w:tc>
        <w:tc>
          <w:tcPr>
            <w:tcW w:w="1275" w:type="dxa"/>
            <w:tcBorders>
              <w:top w:val="single" w:color="auto" w:sz="12" w:space="0"/>
              <w:left w:val="single" w:color="auto" w:sz="4"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数量</w:t>
            </w:r>
          </w:p>
        </w:tc>
        <w:tc>
          <w:tcPr>
            <w:tcW w:w="993" w:type="dxa"/>
            <w:tcBorders>
              <w:top w:val="single" w:color="auto" w:sz="12"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单价</w:t>
            </w:r>
          </w:p>
        </w:tc>
        <w:tc>
          <w:tcPr>
            <w:tcW w:w="1275" w:type="dxa"/>
            <w:tcBorders>
              <w:top w:val="single" w:color="auto" w:sz="12"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金额（元）</w:t>
            </w:r>
          </w:p>
        </w:tc>
        <w:tc>
          <w:tcPr>
            <w:tcW w:w="1276" w:type="dxa"/>
            <w:tcBorders>
              <w:top w:val="single" w:color="auto" w:sz="12"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制造商</w:t>
            </w:r>
          </w:p>
        </w:tc>
        <w:tc>
          <w:tcPr>
            <w:tcW w:w="1276" w:type="dxa"/>
            <w:tcBorders>
              <w:top w:val="single" w:color="auto" w:sz="12" w:space="0"/>
              <w:left w:val="single" w:color="auto" w:sz="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所属行业</w:t>
            </w:r>
          </w:p>
        </w:tc>
        <w:tc>
          <w:tcPr>
            <w:tcW w:w="1868" w:type="dxa"/>
            <w:tcBorders>
              <w:top w:val="single" w:color="auto" w:sz="12" w:space="0"/>
              <w:left w:val="single" w:color="auto" w:sz="4" w:space="0"/>
              <w:bottom w:val="single" w:color="auto" w:sz="4" w:space="0"/>
              <w:right w:val="single" w:color="auto" w:sz="12"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环境标志产品认证证书编号</w:t>
            </w:r>
          </w:p>
        </w:tc>
      </w:tr>
      <w:tr>
        <w:tblPrEx>
          <w:tblCellMar>
            <w:top w:w="0" w:type="dxa"/>
            <w:left w:w="108" w:type="dxa"/>
            <w:bottom w:w="0" w:type="dxa"/>
            <w:right w:w="108" w:type="dxa"/>
          </w:tblCellMar>
        </w:tblPrEx>
        <w:trPr>
          <w:trHeight w:val="561" w:hRule="atLeast"/>
        </w:trPr>
        <w:tc>
          <w:tcPr>
            <w:tcW w:w="975" w:type="dxa"/>
            <w:tcBorders>
              <w:top w:val="single" w:color="auto" w:sz="4" w:space="0"/>
              <w:left w:val="single" w:color="auto" w:sz="1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1</w:t>
            </w:r>
          </w:p>
        </w:tc>
        <w:tc>
          <w:tcPr>
            <w:tcW w:w="1418" w:type="dxa"/>
            <w:tcBorders>
              <w:top w:val="single" w:color="auto" w:sz="4" w:space="0"/>
              <w:left w:val="nil"/>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59"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single" w:color="auto" w:sz="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p>
        </w:tc>
        <w:tc>
          <w:tcPr>
            <w:tcW w:w="1275" w:type="dxa"/>
            <w:tcBorders>
              <w:top w:val="single" w:color="auto" w:sz="4" w:space="0"/>
              <w:left w:val="single" w:color="auto" w:sz="4"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993"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5"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rPr>
            </w:pPr>
          </w:p>
        </w:tc>
        <w:tc>
          <w:tcPr>
            <w:tcW w:w="1276" w:type="dxa"/>
            <w:tcBorders>
              <w:top w:val="single" w:color="auto" w:sz="4" w:space="0"/>
              <w:left w:val="single" w:color="auto" w:sz="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p>
        </w:tc>
        <w:tc>
          <w:tcPr>
            <w:tcW w:w="1868" w:type="dxa"/>
            <w:tcBorders>
              <w:top w:val="single" w:color="auto" w:sz="4" w:space="0"/>
              <w:left w:val="single" w:color="auto" w:sz="4" w:space="0"/>
              <w:bottom w:val="single" w:color="auto" w:sz="4" w:space="0"/>
              <w:right w:val="single" w:color="auto" w:sz="12" w:space="0"/>
            </w:tcBorders>
            <w:vAlign w:val="center"/>
          </w:tcPr>
          <w:p>
            <w:pPr>
              <w:spacing w:line="500" w:lineRule="exact"/>
              <w:jc w:val="center"/>
              <w:rPr>
                <w:rFonts w:ascii="仿宋_GB2312" w:hAnsi="宋体" w:eastAsia="仿宋_GB2312" w:cs="宋体"/>
                <w:color w:val="auto"/>
                <w:sz w:val="24"/>
              </w:rPr>
            </w:pPr>
          </w:p>
        </w:tc>
      </w:tr>
      <w:tr>
        <w:tblPrEx>
          <w:tblCellMar>
            <w:top w:w="0" w:type="dxa"/>
            <w:left w:w="108" w:type="dxa"/>
            <w:bottom w:w="0" w:type="dxa"/>
            <w:right w:w="108" w:type="dxa"/>
          </w:tblCellMar>
        </w:tblPrEx>
        <w:trPr>
          <w:trHeight w:val="729" w:hRule="atLeast"/>
        </w:trPr>
        <w:tc>
          <w:tcPr>
            <w:tcW w:w="975" w:type="dxa"/>
            <w:tcBorders>
              <w:top w:val="single" w:color="auto" w:sz="4" w:space="0"/>
              <w:left w:val="single" w:color="auto" w:sz="1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2</w:t>
            </w:r>
          </w:p>
        </w:tc>
        <w:tc>
          <w:tcPr>
            <w:tcW w:w="1418" w:type="dxa"/>
            <w:tcBorders>
              <w:top w:val="single" w:color="auto" w:sz="4" w:space="0"/>
              <w:left w:val="nil"/>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59"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single" w:color="auto" w:sz="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p>
        </w:tc>
        <w:tc>
          <w:tcPr>
            <w:tcW w:w="1275" w:type="dxa"/>
            <w:tcBorders>
              <w:top w:val="single" w:color="auto" w:sz="4" w:space="0"/>
              <w:left w:val="single" w:color="auto" w:sz="4"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993"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5"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rPr>
            </w:pPr>
          </w:p>
        </w:tc>
        <w:tc>
          <w:tcPr>
            <w:tcW w:w="1276" w:type="dxa"/>
            <w:tcBorders>
              <w:top w:val="single" w:color="auto" w:sz="4" w:space="0"/>
              <w:left w:val="single" w:color="auto" w:sz="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p>
        </w:tc>
        <w:tc>
          <w:tcPr>
            <w:tcW w:w="1868" w:type="dxa"/>
            <w:tcBorders>
              <w:top w:val="single" w:color="auto" w:sz="4" w:space="0"/>
              <w:left w:val="single" w:color="auto" w:sz="4" w:space="0"/>
              <w:bottom w:val="single" w:color="auto" w:sz="4" w:space="0"/>
              <w:right w:val="single" w:color="auto" w:sz="12" w:space="0"/>
            </w:tcBorders>
            <w:vAlign w:val="center"/>
          </w:tcPr>
          <w:p>
            <w:pPr>
              <w:spacing w:line="500" w:lineRule="exact"/>
              <w:jc w:val="center"/>
              <w:rPr>
                <w:rFonts w:ascii="仿宋_GB2312" w:hAnsi="宋体" w:eastAsia="仿宋_GB2312" w:cs="宋体"/>
                <w:color w:val="auto"/>
                <w:sz w:val="24"/>
              </w:rPr>
            </w:pPr>
          </w:p>
        </w:tc>
      </w:tr>
      <w:tr>
        <w:tblPrEx>
          <w:tblCellMar>
            <w:top w:w="0" w:type="dxa"/>
            <w:left w:w="108" w:type="dxa"/>
            <w:bottom w:w="0" w:type="dxa"/>
            <w:right w:w="108" w:type="dxa"/>
          </w:tblCellMar>
        </w:tblPrEx>
        <w:trPr>
          <w:trHeight w:val="750" w:hRule="atLeast"/>
        </w:trPr>
        <w:tc>
          <w:tcPr>
            <w:tcW w:w="975" w:type="dxa"/>
            <w:tcBorders>
              <w:top w:val="single" w:color="auto" w:sz="4" w:space="0"/>
              <w:left w:val="single" w:color="auto" w:sz="1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w:t>
            </w:r>
          </w:p>
        </w:tc>
        <w:tc>
          <w:tcPr>
            <w:tcW w:w="1418" w:type="dxa"/>
            <w:tcBorders>
              <w:top w:val="single" w:color="auto" w:sz="4" w:space="0"/>
              <w:left w:val="nil"/>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59"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single" w:color="auto" w:sz="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nil"/>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rPr>
            </w:pPr>
          </w:p>
        </w:tc>
        <w:tc>
          <w:tcPr>
            <w:tcW w:w="1275" w:type="dxa"/>
            <w:tcBorders>
              <w:top w:val="single" w:color="auto" w:sz="4" w:space="0"/>
              <w:left w:val="single" w:color="auto" w:sz="4"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993"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5"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single" w:color="auto" w:sz="2" w:space="0"/>
              <w:bottom w:val="single" w:color="auto" w:sz="4"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single" w:color="auto" w:sz="2" w:space="0"/>
              <w:bottom w:val="single" w:color="auto" w:sz="4" w:space="0"/>
              <w:right w:val="single" w:color="auto" w:sz="4" w:space="0"/>
            </w:tcBorders>
            <w:vAlign w:val="center"/>
          </w:tcPr>
          <w:p>
            <w:pPr>
              <w:spacing w:line="500" w:lineRule="exact"/>
              <w:jc w:val="center"/>
              <w:rPr>
                <w:rFonts w:ascii="仿宋_GB2312" w:hAnsi="宋体" w:eastAsia="仿宋_GB2312" w:cs="宋体"/>
                <w:color w:val="auto"/>
                <w:sz w:val="24"/>
                <w:u w:val="single"/>
              </w:rPr>
            </w:pPr>
          </w:p>
        </w:tc>
        <w:tc>
          <w:tcPr>
            <w:tcW w:w="1868" w:type="dxa"/>
            <w:tcBorders>
              <w:top w:val="single" w:color="auto" w:sz="4" w:space="0"/>
              <w:left w:val="single" w:color="auto" w:sz="4" w:space="0"/>
              <w:bottom w:val="single" w:color="auto" w:sz="4" w:space="0"/>
              <w:right w:val="single" w:color="auto" w:sz="12" w:space="0"/>
            </w:tcBorders>
            <w:vAlign w:val="center"/>
          </w:tcPr>
          <w:p>
            <w:pPr>
              <w:spacing w:line="500" w:lineRule="exact"/>
              <w:jc w:val="center"/>
              <w:rPr>
                <w:rFonts w:ascii="仿宋_GB2312" w:hAnsi="宋体" w:eastAsia="仿宋_GB2312" w:cs="宋体"/>
                <w:color w:val="auto"/>
                <w:sz w:val="24"/>
                <w:u w:val="single"/>
              </w:rPr>
            </w:pPr>
          </w:p>
        </w:tc>
      </w:tr>
      <w:tr>
        <w:tblPrEx>
          <w:tblCellMar>
            <w:top w:w="0" w:type="dxa"/>
            <w:left w:w="108" w:type="dxa"/>
            <w:bottom w:w="0" w:type="dxa"/>
            <w:right w:w="108" w:type="dxa"/>
          </w:tblCellMar>
        </w:tblPrEx>
        <w:trPr>
          <w:trHeight w:val="750" w:hRule="atLeast"/>
        </w:trPr>
        <w:tc>
          <w:tcPr>
            <w:tcW w:w="975" w:type="dxa"/>
            <w:tcBorders>
              <w:top w:val="single" w:color="auto" w:sz="4" w:space="0"/>
              <w:left w:val="single" w:color="auto" w:sz="12" w:space="0"/>
              <w:bottom w:val="single" w:color="auto" w:sz="12" w:space="0"/>
              <w:right w:val="single" w:color="auto" w:sz="4" w:space="0"/>
            </w:tcBorders>
            <w:vAlign w:val="center"/>
          </w:tcPr>
          <w:p>
            <w:pPr>
              <w:spacing w:line="500" w:lineRule="exact"/>
              <w:jc w:val="center"/>
              <w:rPr>
                <w:rFonts w:ascii="仿宋_GB2312" w:hAnsi="宋体" w:eastAsia="仿宋_GB2312" w:cs="宋体"/>
                <w:color w:val="auto"/>
                <w:sz w:val="24"/>
              </w:rPr>
            </w:pPr>
            <w:r>
              <w:rPr>
                <w:rFonts w:hint="eastAsia" w:ascii="仿宋_GB2312" w:hAnsi="宋体" w:eastAsia="仿宋_GB2312" w:cs="宋体"/>
                <w:color w:val="auto"/>
                <w:sz w:val="24"/>
              </w:rPr>
              <w:t>合计</w:t>
            </w:r>
          </w:p>
        </w:tc>
        <w:tc>
          <w:tcPr>
            <w:tcW w:w="1418" w:type="dxa"/>
            <w:tcBorders>
              <w:top w:val="single" w:color="auto" w:sz="4" w:space="0"/>
              <w:left w:val="nil"/>
              <w:bottom w:val="single" w:color="auto" w:sz="12" w:space="0"/>
              <w:right w:val="single" w:color="auto" w:sz="2" w:space="0"/>
            </w:tcBorders>
            <w:vAlign w:val="center"/>
          </w:tcPr>
          <w:p>
            <w:pPr>
              <w:spacing w:line="500" w:lineRule="exact"/>
              <w:jc w:val="center"/>
              <w:rPr>
                <w:rFonts w:ascii="仿宋_GB2312" w:hAnsi="宋体" w:eastAsia="仿宋_GB2312" w:cs="宋体"/>
                <w:color w:val="auto"/>
                <w:sz w:val="24"/>
              </w:rPr>
            </w:pPr>
          </w:p>
        </w:tc>
        <w:tc>
          <w:tcPr>
            <w:tcW w:w="1259" w:type="dxa"/>
            <w:tcBorders>
              <w:top w:val="single" w:color="auto" w:sz="4" w:space="0"/>
              <w:left w:val="single" w:color="auto" w:sz="2" w:space="0"/>
              <w:bottom w:val="single" w:color="auto" w:sz="12"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single" w:color="auto" w:sz="2" w:space="0"/>
              <w:bottom w:val="single" w:color="auto" w:sz="12" w:space="0"/>
              <w:right w:val="single" w:color="auto" w:sz="4"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nil"/>
              <w:bottom w:val="single" w:color="auto" w:sz="12" w:space="0"/>
              <w:right w:val="single" w:color="auto" w:sz="4" w:space="0"/>
            </w:tcBorders>
            <w:vAlign w:val="center"/>
          </w:tcPr>
          <w:p>
            <w:pPr>
              <w:spacing w:line="500" w:lineRule="exact"/>
              <w:jc w:val="center"/>
              <w:rPr>
                <w:rFonts w:ascii="仿宋_GB2312" w:hAnsi="宋体" w:eastAsia="仿宋_GB2312" w:cs="宋体"/>
                <w:color w:val="auto"/>
                <w:sz w:val="24"/>
              </w:rPr>
            </w:pPr>
          </w:p>
        </w:tc>
        <w:tc>
          <w:tcPr>
            <w:tcW w:w="1275" w:type="dxa"/>
            <w:tcBorders>
              <w:top w:val="single" w:color="auto" w:sz="4" w:space="0"/>
              <w:left w:val="single" w:color="auto" w:sz="4" w:space="0"/>
              <w:bottom w:val="single" w:color="auto" w:sz="12" w:space="0"/>
              <w:right w:val="single" w:color="auto" w:sz="2" w:space="0"/>
            </w:tcBorders>
            <w:vAlign w:val="center"/>
          </w:tcPr>
          <w:p>
            <w:pPr>
              <w:spacing w:line="500" w:lineRule="exact"/>
              <w:jc w:val="center"/>
              <w:rPr>
                <w:rFonts w:ascii="仿宋_GB2312" w:hAnsi="宋体" w:eastAsia="仿宋_GB2312" w:cs="宋体"/>
                <w:color w:val="auto"/>
                <w:sz w:val="24"/>
              </w:rPr>
            </w:pPr>
          </w:p>
        </w:tc>
        <w:tc>
          <w:tcPr>
            <w:tcW w:w="993" w:type="dxa"/>
            <w:tcBorders>
              <w:top w:val="single" w:color="auto" w:sz="4" w:space="0"/>
              <w:left w:val="single" w:color="auto" w:sz="2" w:space="0"/>
              <w:bottom w:val="single" w:color="auto" w:sz="12"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5" w:type="dxa"/>
            <w:tcBorders>
              <w:top w:val="single" w:color="auto" w:sz="4" w:space="0"/>
              <w:left w:val="single" w:color="auto" w:sz="2" w:space="0"/>
              <w:bottom w:val="single" w:color="auto" w:sz="12"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single" w:color="auto" w:sz="2" w:space="0"/>
              <w:bottom w:val="single" w:color="auto" w:sz="12" w:space="0"/>
              <w:right w:val="single" w:color="auto" w:sz="2" w:space="0"/>
            </w:tcBorders>
            <w:vAlign w:val="center"/>
          </w:tcPr>
          <w:p>
            <w:pPr>
              <w:spacing w:line="500" w:lineRule="exact"/>
              <w:jc w:val="center"/>
              <w:rPr>
                <w:rFonts w:ascii="仿宋_GB2312" w:hAnsi="宋体" w:eastAsia="仿宋_GB2312" w:cs="宋体"/>
                <w:color w:val="auto"/>
                <w:sz w:val="24"/>
                <w:u w:val="single"/>
              </w:rPr>
            </w:pPr>
          </w:p>
        </w:tc>
        <w:tc>
          <w:tcPr>
            <w:tcW w:w="1276" w:type="dxa"/>
            <w:tcBorders>
              <w:top w:val="single" w:color="auto" w:sz="4" w:space="0"/>
              <w:left w:val="single" w:color="auto" w:sz="2" w:space="0"/>
              <w:bottom w:val="single" w:color="auto" w:sz="12" w:space="0"/>
              <w:right w:val="single" w:color="auto" w:sz="4" w:space="0"/>
            </w:tcBorders>
            <w:vAlign w:val="center"/>
          </w:tcPr>
          <w:p>
            <w:pPr>
              <w:spacing w:line="500" w:lineRule="exact"/>
              <w:jc w:val="center"/>
              <w:rPr>
                <w:rFonts w:ascii="仿宋_GB2312" w:hAnsi="宋体" w:eastAsia="仿宋_GB2312" w:cs="宋体"/>
                <w:color w:val="auto"/>
                <w:sz w:val="24"/>
                <w:u w:val="single"/>
              </w:rPr>
            </w:pPr>
          </w:p>
        </w:tc>
        <w:tc>
          <w:tcPr>
            <w:tcW w:w="1868" w:type="dxa"/>
            <w:tcBorders>
              <w:top w:val="single" w:color="auto" w:sz="4" w:space="0"/>
              <w:left w:val="single" w:color="auto" w:sz="4" w:space="0"/>
              <w:bottom w:val="single" w:color="auto" w:sz="12" w:space="0"/>
              <w:right w:val="single" w:color="auto" w:sz="12" w:space="0"/>
            </w:tcBorders>
            <w:vAlign w:val="center"/>
          </w:tcPr>
          <w:p>
            <w:pPr>
              <w:spacing w:line="500" w:lineRule="exact"/>
              <w:jc w:val="center"/>
              <w:rPr>
                <w:rFonts w:ascii="仿宋_GB2312" w:hAnsi="宋体" w:eastAsia="仿宋_GB2312" w:cs="宋体"/>
                <w:color w:val="auto"/>
                <w:sz w:val="24"/>
                <w:u w:val="single"/>
              </w:rPr>
            </w:pPr>
          </w:p>
        </w:tc>
      </w:tr>
    </w:tbl>
    <w:p>
      <w:pPr>
        <w:spacing w:beforeLines="50" w:afterLines="50"/>
        <w:rPr>
          <w:rFonts w:ascii="仿宋_GB2312" w:hAnsi="宋体" w:eastAsia="仿宋_GB2312"/>
          <w:color w:val="auto"/>
          <w:sz w:val="24"/>
        </w:rPr>
      </w:pPr>
      <w:r>
        <w:rPr>
          <w:rFonts w:hint="eastAsia" w:ascii="仿宋_GB2312" w:hAnsi="宋体" w:eastAsia="仿宋_GB2312"/>
          <w:color w:val="auto"/>
          <w:sz w:val="24"/>
        </w:rPr>
        <w:t>相关有效证明材料。</w:t>
      </w:r>
    </w:p>
    <w:p>
      <w:pPr>
        <w:spacing w:beforeLines="50" w:afterLines="50"/>
        <w:rPr>
          <w:rFonts w:ascii="仿宋_GB2312" w:hAnsi="宋体" w:eastAsia="仿宋_GB2312"/>
          <w:b/>
          <w:color w:val="auto"/>
          <w:sz w:val="24"/>
        </w:rPr>
      </w:pPr>
      <w:r>
        <w:rPr>
          <w:rFonts w:hint="eastAsia" w:ascii="仿宋_GB2312" w:hAnsi="宋体" w:eastAsia="仿宋_GB2312"/>
          <w:b/>
          <w:color w:val="auto"/>
          <w:sz w:val="24"/>
        </w:rPr>
        <w:t>若所供货物中无环境标志产品政府采购品目清单范围内产品的，可不填写此表。</w:t>
      </w:r>
    </w:p>
    <w:p>
      <w:pPr>
        <w:ind w:firstLine="422" w:firstLineChars="200"/>
        <w:rPr>
          <w:rFonts w:ascii="仿宋" w:hAnsi="仿宋" w:eastAsia="仿宋" w:cs="仿宋_GB2312"/>
          <w:b/>
          <w:color w:val="auto"/>
        </w:rPr>
      </w:pPr>
    </w:p>
    <w:p>
      <w:pPr>
        <w:snapToGrid w:val="0"/>
        <w:spacing w:line="640" w:lineRule="exact"/>
        <w:ind w:firstLine="560" w:firstLineChars="200"/>
        <w:rPr>
          <w:rFonts w:ascii="仿宋_GB2312" w:hAnsi="宋体" w:eastAsia="仿宋_GB2312" w:cs="宋体"/>
          <w:color w:val="auto"/>
          <w:sz w:val="28"/>
          <w:szCs w:val="28"/>
        </w:rPr>
      </w:pPr>
      <w:r>
        <w:rPr>
          <w:rFonts w:hint="eastAsia" w:ascii="仿宋_GB2312" w:hAnsi="宋体" w:eastAsia="仿宋_GB2312" w:cs="宋体"/>
          <w:color w:val="auto"/>
          <w:sz w:val="28"/>
          <w:szCs w:val="28"/>
        </w:rPr>
        <w:t>投标人（全称）：</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（公章）</w:t>
      </w:r>
    </w:p>
    <w:p>
      <w:pPr>
        <w:snapToGrid w:val="0"/>
        <w:spacing w:line="640" w:lineRule="exact"/>
        <w:ind w:firstLine="560" w:firstLineChars="200"/>
        <w:rPr>
          <w:rFonts w:ascii="仿宋_GB2312" w:hAnsi="宋体" w:eastAsia="仿宋_GB2312" w:cs="宋体"/>
          <w:color w:val="auto"/>
          <w:sz w:val="28"/>
          <w:szCs w:val="28"/>
        </w:rPr>
      </w:pPr>
      <w:r>
        <w:rPr>
          <w:rFonts w:hint="eastAsia" w:ascii="仿宋_GB2312" w:hAnsi="宋体" w:eastAsia="仿宋_GB2312" w:cs="宋体"/>
          <w:color w:val="auto"/>
          <w:sz w:val="28"/>
          <w:szCs w:val="28"/>
        </w:rPr>
        <w:t xml:space="preserve">法定代表人或其授权委托人：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（签字或盖章）</w:t>
      </w:r>
    </w:p>
    <w:p>
      <w:pPr>
        <w:snapToGrid w:val="0"/>
        <w:spacing w:line="640" w:lineRule="exact"/>
        <w:ind w:firstLine="560" w:firstLineChars="200"/>
        <w:rPr>
          <w:rFonts w:ascii="仿宋_GB2312" w:hAnsi="宋体" w:eastAsia="仿宋_GB2312"/>
          <w:color w:val="auto"/>
          <w:sz w:val="28"/>
          <w:szCs w:val="28"/>
        </w:rPr>
      </w:pPr>
      <w:r>
        <w:rPr>
          <w:rFonts w:hint="eastAsia" w:ascii="仿宋_GB2312" w:eastAsia="仿宋_GB2312"/>
          <w:color w:val="auto"/>
          <w:sz w:val="28"/>
          <w:szCs w:val="28"/>
        </w:rPr>
        <w:t>日      期：</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年</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月</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日</w:t>
      </w:r>
    </w:p>
    <w:p>
      <w:pPr>
        <w:ind w:firstLine="422" w:firstLineChars="200"/>
        <w:rPr>
          <w:rFonts w:ascii="仿宋" w:hAnsi="仿宋" w:eastAsia="仿宋" w:cs="仿宋_GB2312"/>
          <w:b/>
          <w:color w:val="auto"/>
        </w:rPr>
        <w:sectPr>
          <w:pgSz w:w="16838" w:h="11906" w:orient="landscape"/>
          <w:pgMar w:top="1077" w:right="1440" w:bottom="1077" w:left="1440" w:header="851" w:footer="992" w:gutter="0"/>
          <w:cols w:space="720" w:num="1"/>
          <w:docGrid w:linePitch="312" w:charSpace="0"/>
        </w:sectPr>
      </w:pPr>
    </w:p>
    <w:p>
      <w:pPr>
        <w:pStyle w:val="16"/>
        <w:spacing w:beforeLines="100" w:afterLines="100" w:line="360" w:lineRule="auto"/>
        <w:jc w:val="center"/>
        <w:rPr>
          <w:rFonts w:ascii="黑体" w:hAnsi="宋体" w:eastAsia="黑体"/>
          <w:color w:val="auto"/>
          <w:sz w:val="36"/>
          <w:szCs w:val="36"/>
        </w:rPr>
      </w:pPr>
      <w:r>
        <w:rPr>
          <w:rFonts w:hint="eastAsia" w:ascii="黑体" w:hAnsi="宋体" w:eastAsia="黑体"/>
          <w:color w:val="auto"/>
          <w:sz w:val="36"/>
          <w:szCs w:val="36"/>
        </w:rPr>
        <w:t>7、中小企业声明函</w:t>
      </w:r>
    </w:p>
    <w:p>
      <w:pPr>
        <w:spacing w:beforeLines="100" w:line="440" w:lineRule="exact"/>
        <w:ind w:firstLine="584" w:firstLineChars="200"/>
        <w:rPr>
          <w:rFonts w:ascii="仿宋_GB2312" w:hAnsi="宋体" w:eastAsia="仿宋_GB2312"/>
          <w:color w:val="auto"/>
          <w:spacing w:val="6"/>
          <w:sz w:val="28"/>
          <w:szCs w:val="28"/>
        </w:rPr>
      </w:pPr>
      <w:r>
        <w:rPr>
          <w:rFonts w:hint="eastAsia" w:ascii="仿宋_GB2312" w:hAnsi="宋体" w:eastAsia="仿宋_GB2312"/>
          <w:color w:val="auto"/>
          <w:spacing w:val="6"/>
          <w:sz w:val="28"/>
          <w:szCs w:val="28"/>
        </w:rPr>
        <w:t>本公司郑重声明，根据《政府采购促进中小企业发展管理办法》(财库〔2020〕46 号)的规定，本公司参加</w:t>
      </w:r>
      <w:r>
        <w:rPr>
          <w:rFonts w:hint="eastAsia" w:ascii="仿宋_GB2312" w:hAnsi="宋体" w:eastAsia="仿宋_GB2312"/>
          <w:color w:val="auto"/>
          <w:spacing w:val="6"/>
          <w:sz w:val="28"/>
          <w:szCs w:val="28"/>
          <w:u w:val="single"/>
        </w:rPr>
        <w:t xml:space="preserve"> 西安航天城第一小学 </w:t>
      </w:r>
      <w:r>
        <w:rPr>
          <w:rFonts w:hint="eastAsia" w:ascii="仿宋_GB2312" w:hAnsi="宋体" w:eastAsia="仿宋_GB2312"/>
          <w:color w:val="auto"/>
          <w:spacing w:val="6"/>
          <w:sz w:val="28"/>
          <w:szCs w:val="28"/>
        </w:rPr>
        <w:t>的</w:t>
      </w:r>
      <w:r>
        <w:rPr>
          <w:rFonts w:hint="eastAsia" w:ascii="仿宋_GB2312" w:hAnsi="宋体" w:eastAsia="仿宋_GB2312"/>
          <w:color w:val="auto"/>
          <w:spacing w:val="6"/>
          <w:sz w:val="28"/>
          <w:szCs w:val="28"/>
          <w:u w:val="single"/>
        </w:rPr>
        <w:t xml:space="preserve"> 护眼灯采购及安装项目 </w:t>
      </w:r>
      <w:r>
        <w:rPr>
          <w:rFonts w:hint="eastAsia" w:ascii="仿宋_GB2312" w:hAnsi="宋体" w:eastAsia="仿宋_GB2312"/>
          <w:color w:val="auto"/>
          <w:spacing w:val="6"/>
          <w:sz w:val="28"/>
          <w:szCs w:val="28"/>
        </w:rPr>
        <w:t>采购活动，提供的货物全部由符合政策要求的中小企业制造。相关企业的具体情况如下:</w:t>
      </w:r>
    </w:p>
    <w:p>
      <w:pPr>
        <w:spacing w:line="440" w:lineRule="exact"/>
        <w:ind w:firstLine="584" w:firstLineChars="200"/>
        <w:rPr>
          <w:rFonts w:ascii="仿宋_GB2312" w:hAnsi="宋体" w:eastAsia="仿宋_GB2312"/>
          <w:color w:val="auto"/>
          <w:spacing w:val="6"/>
          <w:sz w:val="28"/>
          <w:szCs w:val="28"/>
        </w:rPr>
      </w:pPr>
      <w:r>
        <w:rPr>
          <w:rFonts w:hint="eastAsia" w:ascii="仿宋_GB2312" w:hAnsi="宋体" w:eastAsia="仿宋_GB2312"/>
          <w:color w:val="auto"/>
          <w:spacing w:val="6"/>
          <w:sz w:val="28"/>
          <w:szCs w:val="28"/>
        </w:rPr>
        <w:t>1.</w:t>
      </w:r>
      <w:r>
        <w:rPr>
          <w:rFonts w:hint="eastAsia" w:ascii="仿宋_GB2312" w:hAnsi="宋体" w:eastAsia="仿宋_GB2312"/>
          <w:color w:val="auto"/>
          <w:spacing w:val="6"/>
          <w:sz w:val="28"/>
          <w:szCs w:val="28"/>
          <w:u w:val="single"/>
        </w:rPr>
        <w:t>（标 的 名 称</w:t>
      </w:r>
      <w:r>
        <w:rPr>
          <w:rFonts w:hint="eastAsia" w:ascii="仿宋_GB2312" w:hAnsi="宋体" w:eastAsia="仿宋_GB2312"/>
          <w:color w:val="auto"/>
          <w:spacing w:val="6"/>
          <w:sz w:val="28"/>
          <w:szCs w:val="28"/>
        </w:rPr>
        <w:t>)，属于</w:t>
      </w:r>
      <w:r>
        <w:rPr>
          <w:rFonts w:hint="eastAsia" w:ascii="仿宋_GB2312" w:hAnsi="宋体" w:eastAsia="仿宋_GB2312"/>
          <w:color w:val="auto"/>
          <w:spacing w:val="6"/>
          <w:sz w:val="28"/>
          <w:szCs w:val="28"/>
          <w:u w:val="single"/>
        </w:rPr>
        <w:t xml:space="preserve">    </w:t>
      </w:r>
      <w:r>
        <w:rPr>
          <w:rFonts w:hint="eastAsia" w:ascii="仿宋_GB2312" w:hAnsi="宋体" w:eastAsia="仿宋_GB2312"/>
          <w:color w:val="auto"/>
          <w:spacing w:val="6"/>
          <w:sz w:val="28"/>
          <w:szCs w:val="28"/>
        </w:rPr>
        <w:t>行业；制造商为</w:t>
      </w:r>
      <w:r>
        <w:rPr>
          <w:rFonts w:hint="eastAsia" w:ascii="仿宋_GB2312" w:hAnsi="宋体" w:eastAsia="仿宋_GB2312"/>
          <w:color w:val="auto"/>
          <w:spacing w:val="6"/>
          <w:sz w:val="28"/>
          <w:szCs w:val="28"/>
          <w:u w:val="single"/>
        </w:rPr>
        <w:t xml:space="preserve"> （企业名称）</w:t>
      </w:r>
      <w:r>
        <w:rPr>
          <w:rFonts w:hint="eastAsia" w:ascii="仿宋_GB2312" w:hAnsi="宋体" w:eastAsia="仿宋_GB2312"/>
          <w:color w:val="auto"/>
          <w:spacing w:val="6"/>
          <w:sz w:val="28"/>
          <w:szCs w:val="28"/>
        </w:rPr>
        <w:t>，从业人员</w:t>
      </w:r>
      <w:r>
        <w:rPr>
          <w:rFonts w:hint="eastAsia" w:ascii="仿宋_GB2312" w:hAnsi="宋体" w:eastAsia="仿宋_GB2312"/>
          <w:color w:val="auto"/>
          <w:spacing w:val="6"/>
          <w:sz w:val="28"/>
          <w:szCs w:val="28"/>
          <w:u w:val="single"/>
        </w:rPr>
        <w:t xml:space="preserve">  </w:t>
      </w:r>
      <w:r>
        <w:rPr>
          <w:rFonts w:hint="eastAsia" w:ascii="仿宋_GB2312" w:hAnsi="宋体" w:eastAsia="仿宋_GB2312"/>
          <w:color w:val="auto"/>
          <w:spacing w:val="6"/>
          <w:sz w:val="28"/>
          <w:szCs w:val="28"/>
        </w:rPr>
        <w:t>人，营业收入为</w:t>
      </w:r>
      <w:r>
        <w:rPr>
          <w:rFonts w:hint="eastAsia" w:ascii="仿宋_GB2312" w:hAnsi="宋体" w:eastAsia="仿宋_GB2312"/>
          <w:color w:val="auto"/>
          <w:spacing w:val="6"/>
          <w:sz w:val="28"/>
          <w:szCs w:val="28"/>
          <w:u w:val="single"/>
        </w:rPr>
        <w:t xml:space="preserve">    </w:t>
      </w:r>
      <w:r>
        <w:rPr>
          <w:rFonts w:hint="eastAsia" w:ascii="仿宋_GB2312" w:hAnsi="宋体" w:eastAsia="仿宋_GB2312"/>
          <w:color w:val="auto"/>
          <w:spacing w:val="6"/>
          <w:sz w:val="28"/>
          <w:szCs w:val="28"/>
        </w:rPr>
        <w:t>万元，资产总额为</w:t>
      </w:r>
      <w:r>
        <w:rPr>
          <w:rFonts w:hint="eastAsia" w:ascii="仿宋_GB2312" w:hAnsi="宋体" w:eastAsia="仿宋_GB2312"/>
          <w:color w:val="auto"/>
          <w:spacing w:val="6"/>
          <w:sz w:val="28"/>
          <w:szCs w:val="28"/>
          <w:u w:val="single"/>
        </w:rPr>
        <w:t xml:space="preserve">         </w:t>
      </w:r>
      <w:r>
        <w:rPr>
          <w:rFonts w:hint="eastAsia" w:ascii="仿宋_GB2312" w:hAnsi="宋体" w:eastAsia="仿宋_GB2312"/>
          <w:color w:val="auto"/>
          <w:spacing w:val="6"/>
          <w:sz w:val="28"/>
          <w:szCs w:val="28"/>
        </w:rPr>
        <w:t>万元，属于</w:t>
      </w:r>
      <w:r>
        <w:rPr>
          <w:rFonts w:hint="eastAsia" w:ascii="仿宋_GB2312" w:hAnsi="宋体" w:eastAsia="仿宋_GB2312"/>
          <w:color w:val="auto"/>
          <w:spacing w:val="6"/>
          <w:sz w:val="28"/>
          <w:szCs w:val="28"/>
          <w:u w:val="single"/>
        </w:rPr>
        <w:t>(中型企业、小型企业、微型企业)</w:t>
      </w:r>
      <w:r>
        <w:rPr>
          <w:rFonts w:hint="eastAsia" w:ascii="仿宋_GB2312" w:hAnsi="宋体" w:eastAsia="仿宋_GB2312"/>
          <w:color w:val="auto"/>
          <w:spacing w:val="6"/>
          <w:sz w:val="28"/>
          <w:szCs w:val="28"/>
        </w:rPr>
        <w:t>;</w:t>
      </w:r>
    </w:p>
    <w:p>
      <w:pPr>
        <w:spacing w:line="440" w:lineRule="exact"/>
        <w:ind w:firstLine="584" w:firstLineChars="200"/>
        <w:rPr>
          <w:rFonts w:ascii="仿宋_GB2312" w:hAnsi="宋体" w:eastAsia="仿宋_GB2312"/>
          <w:color w:val="auto"/>
          <w:spacing w:val="6"/>
          <w:sz w:val="28"/>
          <w:szCs w:val="28"/>
        </w:rPr>
      </w:pPr>
      <w:r>
        <w:rPr>
          <w:rFonts w:hint="eastAsia" w:ascii="仿宋_GB2312" w:hAnsi="宋体" w:eastAsia="仿宋_GB2312"/>
          <w:color w:val="auto"/>
          <w:spacing w:val="6"/>
          <w:sz w:val="28"/>
          <w:szCs w:val="28"/>
        </w:rPr>
        <w:t>2.</w:t>
      </w:r>
      <w:r>
        <w:rPr>
          <w:rFonts w:hint="eastAsia" w:ascii="仿宋_GB2312" w:hAnsi="宋体" w:eastAsia="仿宋_GB2312"/>
          <w:color w:val="auto"/>
          <w:spacing w:val="6"/>
          <w:sz w:val="28"/>
          <w:szCs w:val="28"/>
          <w:u w:val="single"/>
        </w:rPr>
        <w:t>（标 的 名 称</w:t>
      </w:r>
      <w:r>
        <w:rPr>
          <w:rFonts w:hint="eastAsia" w:ascii="仿宋_GB2312" w:hAnsi="宋体" w:eastAsia="仿宋_GB2312"/>
          <w:color w:val="auto"/>
          <w:spacing w:val="6"/>
          <w:sz w:val="28"/>
          <w:szCs w:val="28"/>
        </w:rPr>
        <w:t>)，属于</w:t>
      </w:r>
      <w:r>
        <w:rPr>
          <w:rFonts w:hint="eastAsia" w:ascii="仿宋_GB2312" w:hAnsi="宋体" w:eastAsia="仿宋_GB2312"/>
          <w:color w:val="auto"/>
          <w:spacing w:val="6"/>
          <w:sz w:val="28"/>
          <w:szCs w:val="28"/>
          <w:u w:val="single"/>
        </w:rPr>
        <w:t xml:space="preserve">    </w:t>
      </w:r>
      <w:r>
        <w:rPr>
          <w:rFonts w:hint="eastAsia" w:ascii="仿宋_GB2312" w:hAnsi="宋体" w:eastAsia="仿宋_GB2312"/>
          <w:color w:val="auto"/>
          <w:spacing w:val="6"/>
          <w:sz w:val="28"/>
          <w:szCs w:val="28"/>
        </w:rPr>
        <w:t>行业；制造商为</w:t>
      </w:r>
      <w:r>
        <w:rPr>
          <w:rFonts w:hint="eastAsia" w:ascii="仿宋_GB2312" w:hAnsi="宋体" w:eastAsia="仿宋_GB2312"/>
          <w:color w:val="auto"/>
          <w:spacing w:val="6"/>
          <w:sz w:val="28"/>
          <w:szCs w:val="28"/>
          <w:u w:val="single"/>
        </w:rPr>
        <w:t xml:space="preserve"> （企业名称）</w:t>
      </w:r>
      <w:r>
        <w:rPr>
          <w:rFonts w:hint="eastAsia" w:ascii="仿宋_GB2312" w:hAnsi="宋体" w:eastAsia="仿宋_GB2312"/>
          <w:color w:val="auto"/>
          <w:spacing w:val="6"/>
          <w:sz w:val="28"/>
          <w:szCs w:val="28"/>
        </w:rPr>
        <w:t>，从业人员</w:t>
      </w:r>
      <w:r>
        <w:rPr>
          <w:rFonts w:hint="eastAsia" w:ascii="仿宋_GB2312" w:hAnsi="宋体" w:eastAsia="仿宋_GB2312"/>
          <w:color w:val="auto"/>
          <w:spacing w:val="6"/>
          <w:sz w:val="28"/>
          <w:szCs w:val="28"/>
          <w:u w:val="single"/>
        </w:rPr>
        <w:t xml:space="preserve">  </w:t>
      </w:r>
      <w:r>
        <w:rPr>
          <w:rFonts w:hint="eastAsia" w:ascii="仿宋_GB2312" w:hAnsi="宋体" w:eastAsia="仿宋_GB2312"/>
          <w:color w:val="auto"/>
          <w:spacing w:val="6"/>
          <w:sz w:val="28"/>
          <w:szCs w:val="28"/>
        </w:rPr>
        <w:t>人，营业收入为</w:t>
      </w:r>
      <w:r>
        <w:rPr>
          <w:rFonts w:hint="eastAsia" w:ascii="仿宋_GB2312" w:hAnsi="宋体" w:eastAsia="仿宋_GB2312"/>
          <w:color w:val="auto"/>
          <w:spacing w:val="6"/>
          <w:sz w:val="28"/>
          <w:szCs w:val="28"/>
          <w:u w:val="single"/>
        </w:rPr>
        <w:t xml:space="preserve">    </w:t>
      </w:r>
      <w:r>
        <w:rPr>
          <w:rFonts w:hint="eastAsia" w:ascii="仿宋_GB2312" w:hAnsi="宋体" w:eastAsia="仿宋_GB2312"/>
          <w:color w:val="auto"/>
          <w:spacing w:val="6"/>
          <w:sz w:val="28"/>
          <w:szCs w:val="28"/>
        </w:rPr>
        <w:t>万元，资产总额为</w:t>
      </w:r>
      <w:r>
        <w:rPr>
          <w:rFonts w:hint="eastAsia" w:ascii="仿宋_GB2312" w:hAnsi="宋体" w:eastAsia="仿宋_GB2312"/>
          <w:color w:val="auto"/>
          <w:spacing w:val="6"/>
          <w:sz w:val="28"/>
          <w:szCs w:val="28"/>
          <w:u w:val="single"/>
        </w:rPr>
        <w:t xml:space="preserve">         </w:t>
      </w:r>
      <w:r>
        <w:rPr>
          <w:rFonts w:hint="eastAsia" w:ascii="仿宋_GB2312" w:hAnsi="宋体" w:eastAsia="仿宋_GB2312"/>
          <w:color w:val="auto"/>
          <w:spacing w:val="6"/>
          <w:sz w:val="28"/>
          <w:szCs w:val="28"/>
        </w:rPr>
        <w:t>万元，属于</w:t>
      </w:r>
      <w:r>
        <w:rPr>
          <w:rFonts w:hint="eastAsia" w:ascii="仿宋_GB2312" w:hAnsi="宋体" w:eastAsia="仿宋_GB2312"/>
          <w:color w:val="auto"/>
          <w:spacing w:val="6"/>
          <w:sz w:val="28"/>
          <w:szCs w:val="28"/>
          <w:u w:val="single"/>
        </w:rPr>
        <w:t>(中型企业、小型企业、微型企业)</w:t>
      </w:r>
      <w:r>
        <w:rPr>
          <w:rFonts w:hint="eastAsia" w:ascii="仿宋_GB2312" w:hAnsi="宋体" w:eastAsia="仿宋_GB2312"/>
          <w:color w:val="auto"/>
          <w:spacing w:val="6"/>
          <w:sz w:val="28"/>
          <w:szCs w:val="28"/>
        </w:rPr>
        <w:t>;</w:t>
      </w:r>
    </w:p>
    <w:p>
      <w:pPr>
        <w:spacing w:line="440" w:lineRule="exact"/>
        <w:ind w:firstLine="584" w:firstLineChars="200"/>
        <w:rPr>
          <w:rFonts w:ascii="仿宋_GB2312" w:hAnsi="宋体" w:eastAsia="仿宋_GB2312"/>
          <w:color w:val="auto"/>
          <w:spacing w:val="6"/>
          <w:sz w:val="28"/>
          <w:szCs w:val="28"/>
        </w:rPr>
      </w:pPr>
      <w:r>
        <w:rPr>
          <w:rFonts w:ascii="仿宋_GB2312" w:hAnsi="宋体" w:eastAsia="仿宋_GB2312"/>
          <w:color w:val="auto"/>
          <w:spacing w:val="6"/>
          <w:sz w:val="28"/>
          <w:szCs w:val="28"/>
        </w:rPr>
        <w:t>……</w:t>
      </w:r>
    </w:p>
    <w:p>
      <w:pPr>
        <w:spacing w:beforeLines="150" w:line="440" w:lineRule="exact"/>
        <w:ind w:firstLine="584" w:firstLineChars="200"/>
        <w:rPr>
          <w:rFonts w:ascii="仿宋_GB2312" w:hAnsi="宋体" w:eastAsia="仿宋_GB2312"/>
          <w:color w:val="auto"/>
          <w:spacing w:val="6"/>
          <w:sz w:val="28"/>
          <w:szCs w:val="28"/>
        </w:rPr>
      </w:pPr>
      <w:r>
        <w:rPr>
          <w:rFonts w:hint="eastAsia" w:ascii="宋体" w:hAnsi="宋体" w:eastAsia="仿宋_GB2312"/>
          <w:color w:val="auto"/>
          <w:spacing w:val="6"/>
          <w:sz w:val="28"/>
          <w:szCs w:val="28"/>
        </w:rPr>
        <w:t> </w:t>
      </w:r>
      <w:r>
        <w:rPr>
          <w:rFonts w:hint="eastAsia" w:ascii="仿宋_GB2312" w:hAnsi="宋体" w:eastAsia="仿宋_GB2312"/>
          <w:color w:val="auto"/>
          <w:spacing w:val="6"/>
          <w:sz w:val="28"/>
          <w:szCs w:val="28"/>
        </w:rPr>
        <w:t>以上企业，不属于大企业的分支机构，不存在控股股东为大企业的情形，也不存在与大企业的负责人为同一人的情形。</w:t>
      </w:r>
    </w:p>
    <w:p>
      <w:pPr>
        <w:spacing w:beforeLines="150" w:line="440" w:lineRule="exact"/>
        <w:ind w:firstLine="584" w:firstLineChars="200"/>
        <w:rPr>
          <w:rFonts w:ascii="仿宋_GB2312" w:hAnsi="宋体" w:eastAsia="仿宋_GB2312"/>
          <w:color w:val="auto"/>
          <w:spacing w:val="6"/>
          <w:sz w:val="28"/>
          <w:szCs w:val="28"/>
        </w:rPr>
      </w:pPr>
      <w:r>
        <w:rPr>
          <w:rFonts w:hint="eastAsia" w:ascii="仿宋_GB2312" w:hAnsi="宋体" w:eastAsia="仿宋_GB2312"/>
          <w:color w:val="auto"/>
          <w:spacing w:val="6"/>
          <w:sz w:val="28"/>
          <w:szCs w:val="28"/>
        </w:rPr>
        <w:t>本企业对上述声明内容的真实性负责。如有虚假，将依法承担相应责任。</w:t>
      </w:r>
    </w:p>
    <w:p>
      <w:pPr>
        <w:spacing w:beforeLines="150" w:line="440" w:lineRule="exact"/>
        <w:ind w:firstLine="584" w:firstLineChars="200"/>
        <w:rPr>
          <w:rFonts w:ascii="仿宋_GB2312" w:hAnsi="宋体" w:eastAsia="仿宋_GB2312"/>
          <w:color w:val="auto"/>
          <w:spacing w:val="6"/>
          <w:sz w:val="28"/>
          <w:szCs w:val="28"/>
        </w:rPr>
      </w:pPr>
    </w:p>
    <w:p>
      <w:pPr>
        <w:spacing w:beforeLines="150" w:line="440" w:lineRule="exact"/>
        <w:ind w:firstLine="584" w:firstLineChars="200"/>
        <w:rPr>
          <w:rFonts w:ascii="仿宋_GB2312" w:hAnsi="宋体" w:eastAsia="仿宋_GB2312"/>
          <w:color w:val="auto"/>
          <w:spacing w:val="6"/>
          <w:sz w:val="28"/>
          <w:szCs w:val="28"/>
        </w:rPr>
      </w:pPr>
      <w:r>
        <w:rPr>
          <w:rFonts w:hint="eastAsia" w:ascii="仿宋_GB2312" w:hAnsi="宋体" w:eastAsia="仿宋_GB2312"/>
          <w:color w:val="auto"/>
          <w:spacing w:val="6"/>
          <w:sz w:val="28"/>
          <w:szCs w:val="28"/>
        </w:rPr>
        <w:t xml:space="preserve">                             企业名称：</w:t>
      </w:r>
      <w:r>
        <w:rPr>
          <w:rFonts w:hint="eastAsia" w:ascii="仿宋_GB2312" w:hAnsi="宋体" w:eastAsia="仿宋_GB2312"/>
          <w:color w:val="auto"/>
          <w:spacing w:val="6"/>
          <w:sz w:val="28"/>
          <w:szCs w:val="28"/>
          <w:u w:val="single"/>
        </w:rPr>
        <w:t xml:space="preserve">              </w:t>
      </w:r>
    </w:p>
    <w:p>
      <w:pPr>
        <w:pStyle w:val="2"/>
        <w:rPr>
          <w:color w:val="auto"/>
        </w:rPr>
      </w:pPr>
      <w:r>
        <w:rPr>
          <w:rFonts w:hint="eastAsia"/>
          <w:color w:val="auto"/>
        </w:rPr>
        <w:t xml:space="preserve">                                                </w:t>
      </w:r>
    </w:p>
    <w:p>
      <w:pPr>
        <w:pStyle w:val="2"/>
        <w:rPr>
          <w:rFonts w:ascii="仿宋_GB2312" w:hAnsi="宋体" w:eastAsia="仿宋_GB2312"/>
          <w:color w:val="auto"/>
          <w:spacing w:val="6"/>
          <w:sz w:val="28"/>
          <w:szCs w:val="28"/>
        </w:rPr>
      </w:pPr>
      <w:r>
        <w:rPr>
          <w:rFonts w:hint="eastAsia"/>
          <w:color w:val="auto"/>
        </w:rPr>
        <w:t xml:space="preserve">                                           </w:t>
      </w:r>
      <w:r>
        <w:rPr>
          <w:rFonts w:hint="eastAsia" w:ascii="仿宋_GB2312" w:hAnsi="宋体" w:eastAsia="仿宋_GB2312"/>
          <w:color w:val="auto"/>
          <w:spacing w:val="6"/>
          <w:sz w:val="28"/>
          <w:szCs w:val="28"/>
        </w:rPr>
        <w:t xml:space="preserve">   日    期：</w:t>
      </w:r>
    </w:p>
    <w:p>
      <w:pPr>
        <w:rPr>
          <w:rFonts w:ascii="宋体" w:hAnsi="宋体"/>
          <w:color w:val="auto"/>
          <w:spacing w:val="6"/>
          <w:szCs w:val="21"/>
          <w:u w:val="single"/>
        </w:rPr>
      </w:pPr>
    </w:p>
    <w:p>
      <w:pPr>
        <w:rPr>
          <w:rFonts w:ascii="仿宋" w:hAnsi="仿宋" w:eastAsia="仿宋"/>
          <w:color w:val="auto"/>
          <w:spacing w:val="15"/>
          <w:sz w:val="18"/>
          <w:szCs w:val="18"/>
          <w:shd w:val="clear" w:color="auto" w:fill="FFFFFF"/>
        </w:rPr>
      </w:pPr>
      <w:r>
        <w:rPr>
          <w:rFonts w:hint="eastAsia" w:ascii="宋体" w:hAnsi="宋体"/>
          <w:color w:val="auto"/>
          <w:spacing w:val="6"/>
          <w:szCs w:val="21"/>
          <w:u w:val="single"/>
        </w:rPr>
        <w:t xml:space="preserve">                                                                             </w:t>
      </w:r>
    </w:p>
    <w:p>
      <w:pPr>
        <w:adjustRightInd w:val="0"/>
        <w:snapToGrid w:val="0"/>
        <w:spacing w:line="300" w:lineRule="exact"/>
        <w:rPr>
          <w:rFonts w:ascii="仿宋_GB2312" w:hAnsi="楷体" w:eastAsia="仿宋_GB2312"/>
          <w:color w:val="auto"/>
          <w:sz w:val="24"/>
        </w:rPr>
      </w:pPr>
      <w:r>
        <w:rPr>
          <w:rFonts w:hint="eastAsia" w:ascii="仿宋_GB2312" w:hAnsi="楷体" w:eastAsia="仿宋_GB2312"/>
          <w:color w:val="auto"/>
          <w:sz w:val="24"/>
        </w:rPr>
        <w:t>说明：</w:t>
      </w:r>
    </w:p>
    <w:p>
      <w:pPr>
        <w:adjustRightInd w:val="0"/>
        <w:snapToGrid w:val="0"/>
        <w:spacing w:line="360" w:lineRule="exact"/>
        <w:ind w:firstLine="480" w:firstLineChars="200"/>
        <w:rPr>
          <w:rFonts w:ascii="仿宋_GB2312" w:hAnsi="楷体" w:eastAsia="仿宋_GB2312"/>
          <w:color w:val="auto"/>
          <w:sz w:val="24"/>
        </w:rPr>
      </w:pPr>
      <w:r>
        <w:rPr>
          <w:rFonts w:hint="eastAsia" w:ascii="仿宋_GB2312" w:hAnsi="楷体" w:eastAsia="仿宋_GB2312"/>
          <w:color w:val="auto"/>
          <w:sz w:val="24"/>
        </w:rPr>
        <w:t>（1）填报前请认真阅读</w:t>
      </w:r>
      <w:r>
        <w:rPr>
          <w:rFonts w:hint="eastAsia" w:ascii="仿宋_GB2312" w:hAnsi="楷体" w:eastAsia="仿宋_GB2312" w:cs="宋体"/>
          <w:color w:val="auto"/>
          <w:spacing w:val="6"/>
          <w:kern w:val="0"/>
          <w:sz w:val="24"/>
        </w:rPr>
        <w:t>《中小企业划型标准规定》（工信部联企业[2011]300号）</w:t>
      </w:r>
      <w:r>
        <w:rPr>
          <w:rFonts w:hint="eastAsia" w:ascii="仿宋_GB2312" w:hAnsi="楷体" w:eastAsia="仿宋_GB2312" w:cs="宋体"/>
          <w:bCs/>
          <w:color w:val="auto"/>
          <w:kern w:val="0"/>
          <w:sz w:val="24"/>
        </w:rPr>
        <w:t>和</w:t>
      </w:r>
      <w:r>
        <w:rPr>
          <w:rFonts w:hint="eastAsia" w:ascii="仿宋_GB2312" w:hAnsi="楷体" w:eastAsia="仿宋_GB2312"/>
          <w:color w:val="auto"/>
          <w:spacing w:val="6"/>
          <w:sz w:val="24"/>
        </w:rPr>
        <w:t>《</w:t>
      </w:r>
      <w:r>
        <w:rPr>
          <w:rFonts w:hint="eastAsia" w:ascii="仿宋_GB2312" w:hAnsi="楷体" w:eastAsia="仿宋_GB2312"/>
          <w:bCs/>
          <w:color w:val="auto"/>
          <w:sz w:val="24"/>
        </w:rPr>
        <w:t>政府采购促进中小企业发展管理办法》(</w:t>
      </w:r>
      <w:r>
        <w:rPr>
          <w:rFonts w:hint="eastAsia" w:ascii="仿宋_GB2312" w:hAnsi="楷体" w:eastAsia="仿宋_GB2312"/>
          <w:color w:val="auto"/>
          <w:sz w:val="24"/>
        </w:rPr>
        <w:t>财库[2020]46号)相关规定。</w:t>
      </w:r>
    </w:p>
    <w:p>
      <w:pPr>
        <w:adjustRightInd w:val="0"/>
        <w:snapToGrid w:val="0"/>
        <w:spacing w:line="360" w:lineRule="exact"/>
        <w:ind w:firstLine="480" w:firstLineChars="200"/>
        <w:rPr>
          <w:rFonts w:ascii="仿宋_GB2312" w:hAnsi="楷体" w:eastAsia="仿宋_GB2312"/>
          <w:color w:val="auto"/>
          <w:sz w:val="24"/>
        </w:rPr>
      </w:pPr>
      <w:r>
        <w:rPr>
          <w:rFonts w:hint="eastAsia" w:ascii="仿宋_GB2312" w:hAnsi="楷体" w:eastAsia="仿宋_GB2312"/>
          <w:color w:val="auto"/>
          <w:sz w:val="24"/>
        </w:rPr>
        <w:t>（2）从业人员、营业收入、资产总额填报上一年度数据，无上一年度数据的新成立企业可不填报。投标文件其他地方与《中小企业声明函》数据不一致的，以《中小企业声明函》为准。</w:t>
      </w:r>
    </w:p>
    <w:p>
      <w:pPr>
        <w:adjustRightInd w:val="0"/>
        <w:snapToGrid w:val="0"/>
        <w:spacing w:line="360" w:lineRule="exact"/>
        <w:ind w:firstLine="480" w:firstLineChars="200"/>
        <w:rPr>
          <w:rFonts w:ascii="仿宋_GB2312" w:hAnsi="楷体" w:eastAsia="仿宋_GB2312"/>
          <w:color w:val="auto"/>
          <w:sz w:val="24"/>
        </w:rPr>
      </w:pPr>
      <w:r>
        <w:rPr>
          <w:rFonts w:hint="eastAsia" w:ascii="仿宋_GB2312" w:hAnsi="楷体" w:eastAsia="仿宋_GB2312"/>
          <w:color w:val="auto"/>
          <w:sz w:val="24"/>
        </w:rPr>
        <w:t>（3）横线以下只做填报说明，投标文件可不要。</w:t>
      </w:r>
    </w:p>
    <w:p>
      <w:pPr>
        <w:pStyle w:val="2"/>
        <w:rPr>
          <w:color w:val="auto"/>
        </w:rPr>
      </w:pPr>
    </w:p>
    <w:p>
      <w:pPr>
        <w:pStyle w:val="16"/>
        <w:spacing w:beforeLines="100" w:afterLines="100" w:line="360" w:lineRule="auto"/>
        <w:jc w:val="center"/>
        <w:rPr>
          <w:rFonts w:ascii="黑体" w:hAnsi="宋体" w:eastAsia="黑体"/>
          <w:color w:val="auto"/>
          <w:sz w:val="36"/>
          <w:szCs w:val="36"/>
        </w:rPr>
      </w:pPr>
      <w:r>
        <w:rPr>
          <w:rFonts w:hint="eastAsia" w:ascii="黑体" w:hAnsi="宋体" w:eastAsia="黑体"/>
          <w:color w:val="auto"/>
          <w:sz w:val="36"/>
          <w:szCs w:val="36"/>
        </w:rPr>
        <w:t>8、残疾人福利性单位声明函</w:t>
      </w:r>
    </w:p>
    <w:p>
      <w:pPr>
        <w:spacing w:beforeLines="200" w:line="360" w:lineRule="auto"/>
        <w:ind w:firstLine="584" w:firstLineChars="200"/>
        <w:rPr>
          <w:rFonts w:ascii="仿宋_GB2312" w:hAnsi="宋体" w:eastAsia="仿宋_GB2312"/>
          <w:color w:val="auto"/>
          <w:spacing w:val="6"/>
          <w:sz w:val="28"/>
          <w:szCs w:val="28"/>
        </w:rPr>
      </w:pPr>
      <w:r>
        <w:rPr>
          <w:rFonts w:hint="eastAsia" w:ascii="仿宋_GB2312" w:hAnsi="宋体" w:eastAsia="仿宋_GB2312"/>
          <w:color w:val="auto"/>
          <w:spacing w:val="6"/>
          <w:sz w:val="28"/>
          <w:szCs w:val="28"/>
        </w:rPr>
        <w:t>本单位郑重声明，根据《财政部、民政部、中国残疾人联合会关于促进残疾人就业政府采购政策的通知》（财库</w:t>
      </w:r>
      <w:r>
        <w:rPr>
          <w:rFonts w:hint="eastAsia" w:ascii="仿宋_GB2312" w:hAnsi="宋体" w:eastAsia="仿宋_GB2312"/>
          <w:color w:val="auto"/>
          <w:sz w:val="28"/>
          <w:szCs w:val="28"/>
        </w:rPr>
        <w:t>〔2017〕141</w:t>
      </w:r>
      <w:r>
        <w:rPr>
          <w:rFonts w:hint="eastAsia" w:ascii="仿宋_GB2312" w:hAnsi="宋体" w:eastAsia="仿宋_GB2312"/>
          <w:color w:val="auto"/>
          <w:spacing w:val="6"/>
          <w:sz w:val="28"/>
          <w:szCs w:val="28"/>
        </w:rPr>
        <w:t>号）的规定，本单位从业人员</w:t>
      </w:r>
      <w:r>
        <w:rPr>
          <w:rFonts w:hint="eastAsia" w:ascii="仿宋_GB2312" w:hAnsi="宋体" w:eastAsia="仿宋_GB2312"/>
          <w:color w:val="auto"/>
          <w:spacing w:val="6"/>
          <w:sz w:val="28"/>
          <w:szCs w:val="28"/>
          <w:u w:val="single"/>
        </w:rPr>
        <w:t xml:space="preserve">    </w:t>
      </w:r>
      <w:r>
        <w:rPr>
          <w:rFonts w:hint="eastAsia" w:ascii="仿宋_GB2312" w:hAnsi="宋体" w:eastAsia="仿宋_GB2312"/>
          <w:color w:val="auto"/>
          <w:spacing w:val="6"/>
          <w:sz w:val="28"/>
          <w:szCs w:val="28"/>
        </w:rPr>
        <w:t>人，其中残疾人</w:t>
      </w:r>
      <w:r>
        <w:rPr>
          <w:rFonts w:hint="eastAsia" w:ascii="仿宋_GB2312" w:hAnsi="宋体" w:eastAsia="仿宋_GB2312"/>
          <w:color w:val="auto"/>
          <w:spacing w:val="6"/>
          <w:sz w:val="28"/>
          <w:szCs w:val="28"/>
          <w:u w:val="single"/>
        </w:rPr>
        <w:t xml:space="preserve">      </w:t>
      </w:r>
      <w:r>
        <w:rPr>
          <w:rFonts w:hint="eastAsia" w:ascii="仿宋_GB2312" w:hAnsi="宋体" w:eastAsia="仿宋_GB2312"/>
          <w:color w:val="auto"/>
          <w:spacing w:val="6"/>
          <w:sz w:val="28"/>
          <w:szCs w:val="28"/>
        </w:rPr>
        <w:t>人，为符合条件的残疾人福利性单位，且本单位参加（</w:t>
      </w:r>
      <w:r>
        <w:rPr>
          <w:rFonts w:hint="eastAsia" w:ascii="仿宋_GB2312" w:hAnsi="宋体" w:eastAsia="仿宋_GB2312"/>
          <w:color w:val="auto"/>
          <w:spacing w:val="6"/>
          <w:sz w:val="28"/>
          <w:szCs w:val="28"/>
          <w:u w:val="single"/>
        </w:rPr>
        <w:t xml:space="preserve">采 购 人 名 称） </w:t>
      </w:r>
      <w:r>
        <w:rPr>
          <w:rFonts w:hint="eastAsia" w:ascii="仿宋_GB2312" w:hAnsi="宋体" w:eastAsia="仿宋_GB2312"/>
          <w:color w:val="auto"/>
          <w:spacing w:val="6"/>
          <w:sz w:val="28"/>
          <w:szCs w:val="28"/>
        </w:rPr>
        <w:t>的（</w:t>
      </w:r>
      <w:r>
        <w:rPr>
          <w:rFonts w:hint="eastAsia" w:ascii="仿宋_GB2312" w:hAnsi="宋体" w:eastAsia="仿宋_GB2312"/>
          <w:color w:val="auto"/>
          <w:spacing w:val="6"/>
          <w:sz w:val="28"/>
          <w:szCs w:val="28"/>
          <w:u w:val="single"/>
        </w:rPr>
        <w:t>项 目 名  称</w:t>
      </w:r>
      <w:r>
        <w:rPr>
          <w:rFonts w:hint="eastAsia" w:ascii="仿宋_GB2312" w:hAnsi="宋体" w:eastAsia="仿宋_GB2312"/>
          <w:color w:val="auto"/>
          <w:spacing w:val="6"/>
          <w:sz w:val="28"/>
          <w:szCs w:val="28"/>
        </w:rPr>
        <w:t>）采购活动由本单位承担工程。</w:t>
      </w:r>
    </w:p>
    <w:p>
      <w:pPr>
        <w:spacing w:line="360" w:lineRule="auto"/>
        <w:ind w:firstLine="584" w:firstLineChars="200"/>
        <w:rPr>
          <w:rFonts w:ascii="仿宋_GB2312" w:hAnsi="宋体" w:eastAsia="仿宋_GB2312"/>
          <w:color w:val="auto"/>
          <w:spacing w:val="6"/>
          <w:sz w:val="28"/>
          <w:szCs w:val="28"/>
        </w:rPr>
      </w:pPr>
    </w:p>
    <w:p>
      <w:pPr>
        <w:spacing w:line="360" w:lineRule="auto"/>
        <w:ind w:firstLine="584" w:firstLineChars="200"/>
        <w:rPr>
          <w:rFonts w:ascii="仿宋_GB2312" w:hAnsi="宋体" w:eastAsia="仿宋_GB2312"/>
          <w:color w:val="auto"/>
          <w:spacing w:val="6"/>
          <w:sz w:val="28"/>
          <w:szCs w:val="28"/>
        </w:rPr>
      </w:pPr>
    </w:p>
    <w:p>
      <w:pPr>
        <w:spacing w:line="360" w:lineRule="auto"/>
        <w:ind w:firstLine="584" w:firstLineChars="200"/>
        <w:rPr>
          <w:rFonts w:ascii="仿宋_GB2312" w:hAnsi="宋体" w:eastAsia="仿宋_GB2312"/>
          <w:color w:val="auto"/>
          <w:spacing w:val="6"/>
          <w:sz w:val="28"/>
          <w:szCs w:val="28"/>
        </w:rPr>
      </w:pPr>
      <w:r>
        <w:rPr>
          <w:rFonts w:hint="eastAsia" w:ascii="仿宋_GB2312" w:hAnsi="宋体" w:eastAsia="仿宋_GB2312"/>
          <w:color w:val="auto"/>
          <w:spacing w:val="6"/>
          <w:sz w:val="28"/>
          <w:szCs w:val="28"/>
        </w:rPr>
        <w:t>本单位对上述声明的真实性负责。如有虚假，将依法承担相应责任。</w:t>
      </w:r>
    </w:p>
    <w:p>
      <w:pPr>
        <w:spacing w:line="360" w:lineRule="auto"/>
        <w:ind w:firstLine="584" w:firstLineChars="200"/>
        <w:rPr>
          <w:rFonts w:ascii="仿宋_GB2312" w:hAnsi="宋体" w:eastAsia="仿宋_GB2312"/>
          <w:color w:val="auto"/>
          <w:spacing w:val="6"/>
          <w:sz w:val="28"/>
          <w:szCs w:val="28"/>
        </w:rPr>
      </w:pPr>
    </w:p>
    <w:p>
      <w:pPr>
        <w:spacing w:line="360" w:lineRule="auto"/>
        <w:ind w:firstLine="584" w:firstLineChars="200"/>
        <w:rPr>
          <w:rFonts w:ascii="仿宋_GB2312" w:hAnsi="宋体" w:eastAsia="仿宋_GB2312"/>
          <w:color w:val="auto"/>
          <w:spacing w:val="6"/>
          <w:sz w:val="28"/>
          <w:szCs w:val="28"/>
        </w:rPr>
      </w:pPr>
    </w:p>
    <w:p>
      <w:pPr>
        <w:tabs>
          <w:tab w:val="left" w:pos="4860"/>
        </w:tabs>
        <w:spacing w:line="360" w:lineRule="auto"/>
        <w:ind w:right="1560" w:firstLine="584" w:firstLineChars="200"/>
        <w:jc w:val="left"/>
        <w:rPr>
          <w:rFonts w:ascii="仿宋_GB2312" w:hAnsi="宋体" w:eastAsia="仿宋_GB2312"/>
          <w:color w:val="auto"/>
          <w:spacing w:val="6"/>
          <w:sz w:val="28"/>
          <w:szCs w:val="28"/>
        </w:rPr>
      </w:pPr>
      <w:r>
        <w:rPr>
          <w:rFonts w:hint="eastAsia" w:ascii="仿宋_GB2312" w:hAnsi="宋体" w:eastAsia="仿宋_GB2312"/>
          <w:color w:val="auto"/>
          <w:spacing w:val="6"/>
          <w:sz w:val="28"/>
          <w:szCs w:val="28"/>
        </w:rPr>
        <w:t>单位名称：</w:t>
      </w:r>
      <w:r>
        <w:rPr>
          <w:rFonts w:hint="eastAsia" w:ascii="仿宋_GB2312" w:hAnsi="宋体" w:eastAsia="仿宋_GB2312"/>
          <w:color w:val="auto"/>
          <w:spacing w:val="6"/>
          <w:sz w:val="28"/>
          <w:szCs w:val="28"/>
          <w:u w:val="single"/>
        </w:rPr>
        <w:t xml:space="preserve">              </w:t>
      </w:r>
      <w:r>
        <w:rPr>
          <w:rFonts w:hint="eastAsia" w:ascii="仿宋_GB2312" w:hAnsi="宋体" w:eastAsia="仿宋_GB2312"/>
          <w:color w:val="auto"/>
          <w:spacing w:val="6"/>
          <w:sz w:val="28"/>
          <w:szCs w:val="28"/>
        </w:rPr>
        <w:t>（盖单位章）</w:t>
      </w:r>
    </w:p>
    <w:p>
      <w:pPr>
        <w:tabs>
          <w:tab w:val="left" w:pos="4860"/>
        </w:tabs>
        <w:spacing w:line="360" w:lineRule="auto"/>
        <w:ind w:right="1560" w:firstLine="584" w:firstLineChars="200"/>
        <w:jc w:val="left"/>
        <w:rPr>
          <w:rFonts w:ascii="仿宋_GB2312" w:hAnsi="宋体" w:eastAsia="仿宋_GB2312"/>
          <w:color w:val="auto"/>
          <w:spacing w:val="6"/>
          <w:sz w:val="28"/>
          <w:szCs w:val="28"/>
        </w:rPr>
      </w:pPr>
      <w:r>
        <w:rPr>
          <w:rFonts w:hint="eastAsia" w:ascii="仿宋_GB2312" w:hAnsi="宋体" w:eastAsia="仿宋_GB2312"/>
          <w:color w:val="auto"/>
          <w:spacing w:val="6"/>
          <w:sz w:val="28"/>
          <w:szCs w:val="28"/>
        </w:rPr>
        <w:t xml:space="preserve"> </w:t>
      </w:r>
    </w:p>
    <w:p>
      <w:pPr>
        <w:tabs>
          <w:tab w:val="left" w:pos="4860"/>
        </w:tabs>
        <w:spacing w:line="360" w:lineRule="auto"/>
        <w:ind w:right="1560" w:firstLine="584" w:firstLineChars="200"/>
        <w:jc w:val="left"/>
        <w:rPr>
          <w:rFonts w:ascii="仿宋_GB2312" w:hAnsi="宋体" w:eastAsia="仿宋_GB2312"/>
          <w:color w:val="auto"/>
          <w:spacing w:val="6"/>
          <w:sz w:val="28"/>
          <w:szCs w:val="28"/>
        </w:rPr>
      </w:pPr>
      <w:r>
        <w:rPr>
          <w:rFonts w:hint="eastAsia" w:ascii="仿宋_GB2312" w:hAnsi="宋体" w:eastAsia="仿宋_GB2312"/>
          <w:color w:val="auto"/>
          <w:spacing w:val="6"/>
          <w:sz w:val="28"/>
          <w:szCs w:val="28"/>
        </w:rPr>
        <w:t>日     期：    年   月  日</w:t>
      </w:r>
    </w:p>
    <w:p>
      <w:pPr>
        <w:tabs>
          <w:tab w:val="left" w:pos="4860"/>
        </w:tabs>
        <w:spacing w:line="360" w:lineRule="auto"/>
        <w:ind w:right="1560" w:firstLine="444" w:firstLineChars="200"/>
        <w:jc w:val="left"/>
        <w:rPr>
          <w:rFonts w:ascii="宋体" w:hAnsi="宋体"/>
          <w:color w:val="auto"/>
          <w:spacing w:val="6"/>
          <w:szCs w:val="21"/>
        </w:rPr>
      </w:pPr>
    </w:p>
    <w:p>
      <w:pPr>
        <w:tabs>
          <w:tab w:val="left" w:pos="4860"/>
        </w:tabs>
        <w:spacing w:line="360" w:lineRule="auto"/>
        <w:ind w:right="1560" w:firstLine="444" w:firstLineChars="200"/>
        <w:jc w:val="left"/>
        <w:rPr>
          <w:rFonts w:ascii="宋体" w:hAnsi="宋体"/>
          <w:color w:val="auto"/>
          <w:spacing w:val="6"/>
          <w:szCs w:val="21"/>
        </w:rPr>
      </w:pPr>
    </w:p>
    <w:p>
      <w:pPr>
        <w:rPr>
          <w:rFonts w:ascii="仿宋" w:hAnsi="仿宋" w:eastAsia="仿宋"/>
          <w:color w:val="auto"/>
          <w:spacing w:val="15"/>
          <w:sz w:val="18"/>
          <w:szCs w:val="18"/>
          <w:shd w:val="clear" w:color="auto" w:fill="FFFFFF"/>
        </w:rPr>
      </w:pPr>
      <w:r>
        <w:rPr>
          <w:rFonts w:hint="eastAsia" w:ascii="宋体" w:hAnsi="宋体"/>
          <w:color w:val="auto"/>
          <w:spacing w:val="6"/>
          <w:szCs w:val="21"/>
          <w:u w:val="single"/>
        </w:rPr>
        <w:t xml:space="preserve">                                                                             </w:t>
      </w:r>
    </w:p>
    <w:p>
      <w:pPr>
        <w:tabs>
          <w:tab w:val="left" w:pos="4860"/>
        </w:tabs>
        <w:ind w:right="1559"/>
        <w:jc w:val="left"/>
        <w:rPr>
          <w:rFonts w:ascii="仿宋_GB2312" w:hAnsi="楷体" w:eastAsia="仿宋_GB2312"/>
          <w:color w:val="auto"/>
          <w:sz w:val="24"/>
        </w:rPr>
      </w:pPr>
      <w:r>
        <w:rPr>
          <w:rFonts w:hint="eastAsia" w:ascii="仿宋_GB2312" w:hAnsi="楷体" w:eastAsia="仿宋_GB2312"/>
          <w:color w:val="auto"/>
          <w:sz w:val="24"/>
        </w:rPr>
        <w:t>说明：</w:t>
      </w:r>
    </w:p>
    <w:p>
      <w:pPr>
        <w:adjustRightInd w:val="0"/>
        <w:snapToGrid w:val="0"/>
        <w:spacing w:line="360" w:lineRule="exact"/>
        <w:ind w:firstLine="600" w:firstLineChars="250"/>
        <w:rPr>
          <w:rFonts w:ascii="仿宋_GB2312" w:hAnsi="楷体" w:eastAsia="仿宋_GB2312"/>
          <w:color w:val="auto"/>
          <w:sz w:val="24"/>
        </w:rPr>
      </w:pPr>
      <w:r>
        <w:rPr>
          <w:rFonts w:hint="eastAsia" w:ascii="仿宋_GB2312" w:hAnsi="楷体" w:eastAsia="仿宋_GB2312"/>
          <w:color w:val="auto"/>
          <w:sz w:val="24"/>
        </w:rPr>
        <w:t>（1）填报前请认真阅读</w:t>
      </w:r>
      <w:r>
        <w:rPr>
          <w:rFonts w:hint="eastAsia" w:ascii="仿宋_GB2312" w:hAnsi="楷体" w:eastAsia="仿宋_GB2312"/>
          <w:color w:val="auto"/>
          <w:spacing w:val="6"/>
          <w:sz w:val="24"/>
        </w:rPr>
        <w:t>《财政部、民政部、中国残疾人联合会关于促进残疾人就业政府采购政策的通知》（财库</w:t>
      </w:r>
      <w:r>
        <w:rPr>
          <w:rFonts w:hint="eastAsia" w:ascii="仿宋_GB2312" w:hAnsi="楷体" w:eastAsia="仿宋_GB2312"/>
          <w:color w:val="auto"/>
          <w:sz w:val="24"/>
        </w:rPr>
        <w:t>〔2017〕141</w:t>
      </w:r>
      <w:r>
        <w:rPr>
          <w:rFonts w:hint="eastAsia" w:ascii="仿宋_GB2312" w:hAnsi="楷体" w:eastAsia="仿宋_GB2312"/>
          <w:color w:val="auto"/>
          <w:spacing w:val="6"/>
          <w:sz w:val="24"/>
        </w:rPr>
        <w:t>号）的规定。</w:t>
      </w:r>
    </w:p>
    <w:p>
      <w:pPr>
        <w:adjustRightInd w:val="0"/>
        <w:snapToGrid w:val="0"/>
        <w:spacing w:line="360" w:lineRule="exact"/>
        <w:ind w:firstLine="600" w:firstLineChars="250"/>
        <w:rPr>
          <w:rFonts w:ascii="仿宋_GB2312" w:hAnsi="楷体" w:eastAsia="仿宋_GB2312"/>
          <w:bCs/>
          <w:color w:val="auto"/>
          <w:sz w:val="24"/>
        </w:rPr>
      </w:pPr>
      <w:r>
        <w:rPr>
          <w:rFonts w:hint="eastAsia" w:ascii="仿宋_GB2312" w:hAnsi="楷体" w:eastAsia="仿宋_GB2312"/>
          <w:color w:val="auto"/>
          <w:sz w:val="24"/>
        </w:rPr>
        <w:t>（2）供应商属于残疾人福利性单位的，必须填报有关数据，</w:t>
      </w:r>
      <w:r>
        <w:rPr>
          <w:rFonts w:hint="eastAsia" w:ascii="仿宋_GB2312" w:hAnsi="楷体" w:eastAsia="仿宋_GB2312"/>
          <w:bCs/>
          <w:color w:val="auto"/>
          <w:sz w:val="24"/>
        </w:rPr>
        <w:t>未按要求提供或者不符合政策条件要求的，其投标文件无效。</w:t>
      </w:r>
    </w:p>
    <w:p>
      <w:pPr>
        <w:adjustRightInd w:val="0"/>
        <w:snapToGrid w:val="0"/>
        <w:spacing w:line="360" w:lineRule="exact"/>
        <w:ind w:firstLine="600" w:firstLineChars="250"/>
        <w:rPr>
          <w:rFonts w:ascii="仿宋_GB2312" w:hAnsi="楷体" w:eastAsia="仿宋_GB2312"/>
          <w:bCs/>
          <w:color w:val="auto"/>
          <w:sz w:val="24"/>
        </w:rPr>
      </w:pPr>
      <w:r>
        <w:rPr>
          <w:rFonts w:hint="eastAsia" w:ascii="仿宋_GB2312" w:hAnsi="楷体" w:eastAsia="仿宋_GB2312"/>
          <w:bCs/>
          <w:color w:val="auto"/>
          <w:sz w:val="24"/>
        </w:rPr>
        <w:t>（3）供应商不属于</w:t>
      </w:r>
      <w:r>
        <w:rPr>
          <w:rFonts w:hint="eastAsia" w:ascii="仿宋_GB2312" w:hAnsi="楷体" w:eastAsia="仿宋_GB2312"/>
          <w:color w:val="auto"/>
          <w:sz w:val="24"/>
        </w:rPr>
        <w:t>残疾人福利性单位的，可不填报或提供“残疾人福利性单位声明函”。</w:t>
      </w:r>
    </w:p>
    <w:p>
      <w:pPr>
        <w:adjustRightInd w:val="0"/>
        <w:snapToGrid w:val="0"/>
        <w:spacing w:line="360" w:lineRule="exact"/>
        <w:ind w:firstLine="600" w:firstLineChars="250"/>
        <w:rPr>
          <w:rFonts w:ascii="仿宋_GB2312" w:hAnsi="楷体" w:eastAsia="仿宋_GB2312"/>
          <w:color w:val="auto"/>
          <w:sz w:val="24"/>
        </w:rPr>
      </w:pPr>
      <w:r>
        <w:rPr>
          <w:rFonts w:hint="eastAsia" w:ascii="仿宋_GB2312" w:hAnsi="楷体" w:eastAsia="仿宋_GB2312"/>
          <w:color w:val="auto"/>
          <w:sz w:val="24"/>
        </w:rPr>
        <w:t>（4）横线以下只做填报说明，投标文件可不要。</w:t>
      </w:r>
    </w:p>
    <w:p>
      <w:pPr>
        <w:widowControl/>
        <w:spacing w:beforeLines="100" w:afterLines="100" w:line="560" w:lineRule="exact"/>
        <w:rPr>
          <w:rFonts w:ascii="仿宋_GB2312" w:hAnsi="仿宋_GB2312" w:eastAsia="仿宋_GB2312" w:cs="仿宋_GB2312"/>
          <w:b/>
          <w:bCs/>
          <w:color w:val="auto"/>
          <w:sz w:val="32"/>
          <w:szCs w:val="32"/>
        </w:rPr>
      </w:pPr>
    </w:p>
    <w:p>
      <w:pPr>
        <w:pStyle w:val="2"/>
        <w:rPr>
          <w:color w:val="auto"/>
        </w:rPr>
      </w:pPr>
    </w:p>
    <w:p>
      <w:pPr>
        <w:rPr>
          <w:color w:val="auto"/>
        </w:rPr>
      </w:pPr>
    </w:p>
    <w:p>
      <w:pPr>
        <w:pStyle w:val="2"/>
        <w:rPr>
          <w:color w:val="auto"/>
        </w:rPr>
      </w:pPr>
    </w:p>
    <w:p>
      <w:pPr>
        <w:rPr>
          <w:color w:val="auto"/>
        </w:rPr>
      </w:pPr>
    </w:p>
    <w:p>
      <w:pPr>
        <w:pStyle w:val="16"/>
        <w:spacing w:beforeLines="100" w:afterLines="100" w:line="360" w:lineRule="auto"/>
        <w:jc w:val="center"/>
        <w:rPr>
          <w:rFonts w:ascii="黑体" w:hAnsi="宋体" w:eastAsia="黑体"/>
          <w:color w:val="auto"/>
          <w:sz w:val="36"/>
          <w:szCs w:val="36"/>
        </w:rPr>
      </w:pPr>
      <w:r>
        <w:rPr>
          <w:rFonts w:hint="eastAsia" w:ascii="黑体" w:hAnsi="宋体" w:eastAsia="黑体"/>
          <w:color w:val="auto"/>
          <w:sz w:val="36"/>
          <w:szCs w:val="36"/>
        </w:rPr>
        <w:t>9、监狱企业证明函</w:t>
      </w:r>
    </w:p>
    <w:p>
      <w:pPr>
        <w:spacing w:line="588" w:lineRule="exact"/>
        <w:ind w:firstLine="584" w:firstLineChars="200"/>
        <w:rPr>
          <w:rFonts w:ascii="仿宋_GB2312" w:hAnsi="宋体" w:eastAsia="仿宋_GB2312"/>
          <w:color w:val="auto"/>
          <w:spacing w:val="6"/>
          <w:sz w:val="28"/>
          <w:szCs w:val="28"/>
        </w:rPr>
      </w:pPr>
      <w:r>
        <w:rPr>
          <w:rFonts w:hint="eastAsia" w:ascii="仿宋_GB2312" w:hAnsi="宋体" w:eastAsia="仿宋_GB2312"/>
          <w:color w:val="auto"/>
          <w:spacing w:val="6"/>
          <w:sz w:val="28"/>
          <w:szCs w:val="28"/>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88" w:lineRule="exact"/>
        <w:ind w:firstLine="584" w:firstLineChars="200"/>
        <w:rPr>
          <w:rFonts w:ascii="仿宋_GB2312" w:hAnsi="宋体" w:eastAsia="仿宋_GB2312"/>
          <w:color w:val="auto"/>
          <w:spacing w:val="6"/>
          <w:sz w:val="28"/>
          <w:szCs w:val="28"/>
        </w:rPr>
      </w:pPr>
      <w:r>
        <w:rPr>
          <w:rFonts w:hint="eastAsia" w:ascii="仿宋_GB2312" w:hAnsi="宋体" w:eastAsia="仿宋_GB2312"/>
          <w:color w:val="auto"/>
          <w:spacing w:val="6"/>
          <w:sz w:val="28"/>
          <w:szCs w:val="28"/>
        </w:rPr>
        <w:t>监狱企业参加政府采购活动时，应当提供由省级以上监狱管理局、戒毒管理局（含新疆生产建设兵团）出具的属于监狱企业的证明文件。</w:t>
      </w:r>
    </w:p>
    <w:p>
      <w:pPr>
        <w:spacing w:line="588" w:lineRule="exact"/>
        <w:ind w:firstLine="584" w:firstLineChars="200"/>
        <w:rPr>
          <w:rFonts w:ascii="仿宋_GB2312" w:hAnsi="宋体" w:eastAsia="仿宋_GB2312"/>
          <w:color w:val="auto"/>
          <w:spacing w:val="6"/>
          <w:sz w:val="28"/>
          <w:szCs w:val="28"/>
        </w:rPr>
      </w:pPr>
      <w:r>
        <w:rPr>
          <w:rFonts w:hint="eastAsia" w:ascii="仿宋_GB2312" w:hAnsi="宋体" w:eastAsia="仿宋_GB2312"/>
          <w:color w:val="auto"/>
          <w:spacing w:val="6"/>
          <w:sz w:val="28"/>
          <w:szCs w:val="28"/>
        </w:rPr>
        <w:t>供应商非监狱企业的，可不提供证明文件或证明函。</w:t>
      </w:r>
    </w:p>
    <w:p>
      <w:pPr>
        <w:pStyle w:val="16"/>
        <w:spacing w:beforeLines="100" w:afterLines="100" w:line="360" w:lineRule="auto"/>
        <w:jc w:val="center"/>
        <w:rPr>
          <w:rFonts w:ascii="黑体" w:hAnsi="宋体" w:eastAsia="黑体"/>
          <w:color w:val="auto"/>
          <w:sz w:val="36"/>
          <w:szCs w:val="36"/>
        </w:rPr>
      </w:pPr>
    </w:p>
    <w:p>
      <w:pPr>
        <w:pStyle w:val="16"/>
        <w:spacing w:beforeLines="100" w:afterLines="100" w:line="360" w:lineRule="auto"/>
        <w:jc w:val="center"/>
        <w:rPr>
          <w:rFonts w:ascii="黑体" w:hAnsi="宋体" w:eastAsia="黑体"/>
          <w:color w:val="auto"/>
          <w:sz w:val="36"/>
          <w:szCs w:val="36"/>
        </w:rPr>
      </w:pPr>
    </w:p>
    <w:p>
      <w:pPr>
        <w:pStyle w:val="16"/>
        <w:spacing w:beforeLines="100" w:afterLines="100" w:line="360" w:lineRule="auto"/>
        <w:jc w:val="center"/>
        <w:rPr>
          <w:rFonts w:ascii="黑体" w:hAnsi="宋体" w:eastAsia="黑体"/>
          <w:color w:val="auto"/>
          <w:sz w:val="36"/>
          <w:szCs w:val="36"/>
        </w:rPr>
      </w:pPr>
    </w:p>
    <w:p>
      <w:pPr>
        <w:pStyle w:val="16"/>
        <w:spacing w:beforeLines="100" w:afterLines="100" w:line="360" w:lineRule="auto"/>
        <w:jc w:val="center"/>
        <w:rPr>
          <w:rFonts w:ascii="黑体" w:hAnsi="宋体" w:eastAsia="黑体"/>
          <w:color w:val="auto"/>
          <w:sz w:val="36"/>
          <w:szCs w:val="36"/>
        </w:rPr>
      </w:pPr>
    </w:p>
    <w:p>
      <w:pPr>
        <w:pStyle w:val="16"/>
        <w:spacing w:beforeLines="100" w:afterLines="100" w:line="360" w:lineRule="auto"/>
        <w:jc w:val="center"/>
        <w:rPr>
          <w:rFonts w:ascii="黑体" w:hAnsi="宋体" w:eastAsia="黑体"/>
          <w:color w:val="auto"/>
          <w:sz w:val="36"/>
          <w:szCs w:val="36"/>
        </w:rPr>
      </w:pPr>
    </w:p>
    <w:p>
      <w:pPr>
        <w:pStyle w:val="16"/>
        <w:spacing w:beforeLines="100" w:afterLines="100" w:line="360" w:lineRule="auto"/>
        <w:jc w:val="center"/>
        <w:rPr>
          <w:rFonts w:ascii="黑体" w:hAnsi="宋体" w:eastAsia="黑体"/>
          <w:color w:val="auto"/>
          <w:sz w:val="36"/>
          <w:szCs w:val="36"/>
        </w:rPr>
      </w:pPr>
    </w:p>
    <w:p>
      <w:pPr>
        <w:pStyle w:val="16"/>
        <w:spacing w:beforeLines="100" w:afterLines="100" w:line="360" w:lineRule="auto"/>
        <w:jc w:val="center"/>
        <w:rPr>
          <w:rFonts w:ascii="黑体" w:hAnsi="宋体" w:eastAsia="黑体"/>
          <w:color w:val="auto"/>
          <w:sz w:val="36"/>
          <w:szCs w:val="36"/>
        </w:rPr>
      </w:pPr>
    </w:p>
    <w:p>
      <w:pPr>
        <w:pStyle w:val="16"/>
        <w:spacing w:beforeLines="100" w:afterLines="100" w:line="360" w:lineRule="auto"/>
        <w:jc w:val="center"/>
        <w:rPr>
          <w:rFonts w:ascii="黑体" w:hAnsi="宋体" w:eastAsia="黑体"/>
          <w:color w:val="auto"/>
          <w:sz w:val="36"/>
          <w:szCs w:val="36"/>
        </w:rPr>
      </w:pPr>
      <w:r>
        <w:rPr>
          <w:rFonts w:hint="eastAsia" w:ascii="黑体" w:hAnsi="宋体" w:eastAsia="黑体"/>
          <w:color w:val="auto"/>
          <w:sz w:val="36"/>
          <w:szCs w:val="36"/>
        </w:rPr>
        <w:t>10、贫困地区农副产品声明函</w:t>
      </w:r>
    </w:p>
    <w:p>
      <w:pPr>
        <w:adjustRightInd w:val="0"/>
        <w:snapToGrid w:val="0"/>
        <w:spacing w:line="360" w:lineRule="auto"/>
        <w:ind w:right="105" w:rightChars="50" w:firstLine="635" w:firstLineChars="227"/>
        <w:jc w:val="left"/>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本单位郑重声明，根据财政部 国务院扶贫办《关于运用政府采购政策支持脱贫攻坚的通知》（财库〔2019〕27 号）的规定，本单位为符合条件的单位，且本单位参加</w:t>
      </w:r>
      <w:r>
        <w:rPr>
          <w:rFonts w:hint="eastAsia" w:ascii="仿宋_GB2312" w:hAnsi="宋体" w:eastAsia="仿宋_GB2312" w:cs="仿宋_GB2312"/>
          <w:color w:val="auto"/>
          <w:sz w:val="28"/>
          <w:szCs w:val="28"/>
          <w:u w:val="single"/>
        </w:rPr>
        <w:t xml:space="preserve">   （采购人）   </w:t>
      </w:r>
      <w:r>
        <w:rPr>
          <w:rFonts w:hint="eastAsia" w:ascii="仿宋_GB2312" w:hAnsi="宋体" w:eastAsia="仿宋_GB2312" w:cs="仿宋_GB2312"/>
          <w:color w:val="auto"/>
          <w:sz w:val="28"/>
          <w:szCs w:val="28"/>
        </w:rPr>
        <w:t>的</w:t>
      </w:r>
      <w:r>
        <w:rPr>
          <w:rFonts w:hint="eastAsia" w:ascii="仿宋_GB2312" w:hAnsi="宋体" w:eastAsia="仿宋_GB2312" w:cs="仿宋_GB2312"/>
          <w:color w:val="auto"/>
          <w:sz w:val="28"/>
          <w:szCs w:val="28"/>
          <w:u w:val="single"/>
        </w:rPr>
        <w:t xml:space="preserve">      </w:t>
      </w:r>
      <w:r>
        <w:rPr>
          <w:rFonts w:hint="eastAsia" w:ascii="仿宋_GB2312" w:hAnsi="宋体" w:eastAsia="仿宋_GB2312" w:cs="仿宋_GB2312"/>
          <w:color w:val="auto"/>
          <w:sz w:val="28"/>
          <w:szCs w:val="28"/>
        </w:rPr>
        <w:t>项目采购活动，由本单位提供农副产品，或者提供其他贫困地区单位的家副产品。</w:t>
      </w:r>
    </w:p>
    <w:p>
      <w:pPr>
        <w:adjustRightInd w:val="0"/>
        <w:snapToGrid w:val="0"/>
        <w:spacing w:line="360" w:lineRule="auto"/>
        <w:ind w:right="105" w:rightChars="50" w:firstLine="635" w:firstLineChars="227"/>
        <w:jc w:val="left"/>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本单位对上述声明的真实性负责。如有虚假，将依法承担相应责任。</w:t>
      </w:r>
    </w:p>
    <w:tbl>
      <w:tblPr>
        <w:tblStyle w:val="24"/>
        <w:tblpPr w:leftFromText="180" w:rightFromText="180" w:vertAnchor="text" w:horzAnchor="page" w:tblpX="1272" w:tblpY="403"/>
        <w:tblOverlap w:val="never"/>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560"/>
        <w:gridCol w:w="769"/>
        <w:gridCol w:w="1152"/>
        <w:gridCol w:w="1427"/>
        <w:gridCol w:w="1427"/>
        <w:gridCol w:w="107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242" w:type="dxa"/>
            <w:vAlign w:val="center"/>
          </w:tcPr>
          <w:p>
            <w:pPr>
              <w:jc w:val="center"/>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序号</w:t>
            </w:r>
          </w:p>
        </w:tc>
        <w:tc>
          <w:tcPr>
            <w:tcW w:w="1560" w:type="dxa"/>
            <w:vAlign w:val="center"/>
          </w:tcPr>
          <w:p>
            <w:pPr>
              <w:jc w:val="center"/>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品  名</w:t>
            </w:r>
          </w:p>
        </w:tc>
        <w:tc>
          <w:tcPr>
            <w:tcW w:w="769" w:type="dxa"/>
            <w:vAlign w:val="center"/>
          </w:tcPr>
          <w:p>
            <w:pPr>
              <w:widowControl/>
              <w:jc w:val="center"/>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单位</w:t>
            </w:r>
          </w:p>
        </w:tc>
        <w:tc>
          <w:tcPr>
            <w:tcW w:w="1152" w:type="dxa"/>
            <w:vAlign w:val="center"/>
          </w:tcPr>
          <w:p>
            <w:pPr>
              <w:jc w:val="center"/>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数量</w:t>
            </w:r>
          </w:p>
        </w:tc>
        <w:tc>
          <w:tcPr>
            <w:tcW w:w="1427" w:type="dxa"/>
            <w:vAlign w:val="center"/>
          </w:tcPr>
          <w:p>
            <w:pPr>
              <w:jc w:val="center"/>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规格</w:t>
            </w:r>
          </w:p>
          <w:p>
            <w:pPr>
              <w:jc w:val="center"/>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型号</w:t>
            </w:r>
          </w:p>
        </w:tc>
        <w:tc>
          <w:tcPr>
            <w:tcW w:w="1427" w:type="dxa"/>
            <w:vAlign w:val="center"/>
          </w:tcPr>
          <w:p>
            <w:pPr>
              <w:jc w:val="center"/>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生产</w:t>
            </w:r>
          </w:p>
          <w:p>
            <w:pPr>
              <w:jc w:val="center"/>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厂家</w:t>
            </w:r>
          </w:p>
        </w:tc>
        <w:tc>
          <w:tcPr>
            <w:tcW w:w="1070" w:type="dxa"/>
            <w:vAlign w:val="center"/>
          </w:tcPr>
          <w:p>
            <w:pPr>
              <w:jc w:val="center"/>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单价</w:t>
            </w:r>
          </w:p>
        </w:tc>
        <w:tc>
          <w:tcPr>
            <w:tcW w:w="851" w:type="dxa"/>
            <w:vAlign w:val="center"/>
          </w:tcPr>
          <w:p>
            <w:pPr>
              <w:jc w:val="center"/>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242" w:type="dxa"/>
            <w:vAlign w:val="center"/>
          </w:tcPr>
          <w:p>
            <w:pPr>
              <w:jc w:val="center"/>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1</w:t>
            </w:r>
          </w:p>
        </w:tc>
        <w:tc>
          <w:tcPr>
            <w:tcW w:w="1560" w:type="dxa"/>
            <w:vAlign w:val="center"/>
          </w:tcPr>
          <w:p>
            <w:pPr>
              <w:jc w:val="center"/>
              <w:rPr>
                <w:rFonts w:ascii="仿宋_GB2312" w:hAnsi="宋体" w:eastAsia="仿宋_GB2312" w:cs="仿宋_GB2312"/>
                <w:color w:val="auto"/>
                <w:sz w:val="28"/>
                <w:szCs w:val="28"/>
              </w:rPr>
            </w:pPr>
          </w:p>
        </w:tc>
        <w:tc>
          <w:tcPr>
            <w:tcW w:w="769" w:type="dxa"/>
            <w:vAlign w:val="center"/>
          </w:tcPr>
          <w:p>
            <w:pPr>
              <w:jc w:val="center"/>
              <w:rPr>
                <w:rFonts w:ascii="仿宋_GB2312" w:hAnsi="宋体" w:eastAsia="仿宋_GB2312" w:cs="仿宋_GB2312"/>
                <w:color w:val="auto"/>
                <w:sz w:val="28"/>
                <w:szCs w:val="28"/>
              </w:rPr>
            </w:pPr>
          </w:p>
        </w:tc>
        <w:tc>
          <w:tcPr>
            <w:tcW w:w="1152" w:type="dxa"/>
            <w:vAlign w:val="center"/>
          </w:tcPr>
          <w:p>
            <w:pPr>
              <w:jc w:val="center"/>
              <w:rPr>
                <w:rFonts w:ascii="仿宋_GB2312" w:hAnsi="宋体" w:eastAsia="仿宋_GB2312" w:cs="仿宋_GB2312"/>
                <w:color w:val="auto"/>
                <w:sz w:val="28"/>
                <w:szCs w:val="28"/>
              </w:rPr>
            </w:pPr>
          </w:p>
        </w:tc>
        <w:tc>
          <w:tcPr>
            <w:tcW w:w="1427" w:type="dxa"/>
            <w:vAlign w:val="center"/>
          </w:tcPr>
          <w:p>
            <w:pPr>
              <w:jc w:val="center"/>
              <w:rPr>
                <w:rFonts w:ascii="仿宋_GB2312" w:hAnsi="宋体" w:eastAsia="仿宋_GB2312" w:cs="仿宋_GB2312"/>
                <w:color w:val="auto"/>
                <w:sz w:val="28"/>
                <w:szCs w:val="28"/>
              </w:rPr>
            </w:pPr>
          </w:p>
        </w:tc>
        <w:tc>
          <w:tcPr>
            <w:tcW w:w="1427" w:type="dxa"/>
            <w:vAlign w:val="center"/>
          </w:tcPr>
          <w:p>
            <w:pPr>
              <w:jc w:val="center"/>
              <w:rPr>
                <w:rFonts w:ascii="仿宋_GB2312" w:hAnsi="宋体" w:eastAsia="仿宋_GB2312" w:cs="仿宋_GB2312"/>
                <w:color w:val="auto"/>
                <w:sz w:val="28"/>
                <w:szCs w:val="28"/>
              </w:rPr>
            </w:pPr>
          </w:p>
        </w:tc>
        <w:tc>
          <w:tcPr>
            <w:tcW w:w="1070" w:type="dxa"/>
            <w:vAlign w:val="center"/>
          </w:tcPr>
          <w:p>
            <w:pPr>
              <w:spacing w:line="360" w:lineRule="auto"/>
              <w:rPr>
                <w:rFonts w:ascii="仿宋_GB2312" w:hAnsi="宋体" w:eastAsia="仿宋_GB2312" w:cs="仿宋_GB2312"/>
                <w:color w:val="auto"/>
                <w:sz w:val="28"/>
                <w:szCs w:val="28"/>
              </w:rPr>
            </w:pPr>
          </w:p>
        </w:tc>
        <w:tc>
          <w:tcPr>
            <w:tcW w:w="851" w:type="dxa"/>
            <w:vAlign w:val="center"/>
          </w:tcPr>
          <w:p>
            <w:pPr>
              <w:spacing w:line="360" w:lineRule="auto"/>
              <w:rPr>
                <w:rFonts w:ascii="仿宋_GB2312" w:hAnsi="宋体"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242" w:type="dxa"/>
            <w:vAlign w:val="center"/>
          </w:tcPr>
          <w:p>
            <w:pPr>
              <w:jc w:val="center"/>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2</w:t>
            </w:r>
          </w:p>
        </w:tc>
        <w:tc>
          <w:tcPr>
            <w:tcW w:w="1560" w:type="dxa"/>
            <w:vAlign w:val="center"/>
          </w:tcPr>
          <w:p>
            <w:pPr>
              <w:jc w:val="center"/>
              <w:rPr>
                <w:rFonts w:ascii="仿宋_GB2312" w:hAnsi="宋体" w:eastAsia="仿宋_GB2312" w:cs="仿宋_GB2312"/>
                <w:color w:val="auto"/>
                <w:sz w:val="28"/>
                <w:szCs w:val="28"/>
              </w:rPr>
            </w:pPr>
          </w:p>
        </w:tc>
        <w:tc>
          <w:tcPr>
            <w:tcW w:w="769" w:type="dxa"/>
            <w:vAlign w:val="center"/>
          </w:tcPr>
          <w:p>
            <w:pPr>
              <w:jc w:val="center"/>
              <w:rPr>
                <w:rFonts w:ascii="仿宋_GB2312" w:hAnsi="宋体" w:eastAsia="仿宋_GB2312" w:cs="仿宋_GB2312"/>
                <w:color w:val="auto"/>
                <w:sz w:val="28"/>
                <w:szCs w:val="28"/>
              </w:rPr>
            </w:pPr>
          </w:p>
        </w:tc>
        <w:tc>
          <w:tcPr>
            <w:tcW w:w="1152" w:type="dxa"/>
            <w:vAlign w:val="center"/>
          </w:tcPr>
          <w:p>
            <w:pPr>
              <w:jc w:val="center"/>
              <w:rPr>
                <w:rFonts w:ascii="仿宋_GB2312" w:hAnsi="宋体" w:eastAsia="仿宋_GB2312" w:cs="仿宋_GB2312"/>
                <w:color w:val="auto"/>
                <w:sz w:val="28"/>
                <w:szCs w:val="28"/>
              </w:rPr>
            </w:pPr>
          </w:p>
        </w:tc>
        <w:tc>
          <w:tcPr>
            <w:tcW w:w="1427" w:type="dxa"/>
            <w:vAlign w:val="center"/>
          </w:tcPr>
          <w:p>
            <w:pPr>
              <w:jc w:val="center"/>
              <w:rPr>
                <w:rFonts w:ascii="仿宋_GB2312" w:hAnsi="宋体" w:eastAsia="仿宋_GB2312" w:cs="仿宋_GB2312"/>
                <w:color w:val="auto"/>
                <w:sz w:val="28"/>
                <w:szCs w:val="28"/>
              </w:rPr>
            </w:pPr>
          </w:p>
        </w:tc>
        <w:tc>
          <w:tcPr>
            <w:tcW w:w="1427" w:type="dxa"/>
            <w:vAlign w:val="center"/>
          </w:tcPr>
          <w:p>
            <w:pPr>
              <w:jc w:val="center"/>
              <w:rPr>
                <w:rFonts w:ascii="仿宋_GB2312" w:hAnsi="宋体" w:eastAsia="仿宋_GB2312" w:cs="仿宋_GB2312"/>
                <w:color w:val="auto"/>
                <w:sz w:val="28"/>
                <w:szCs w:val="28"/>
              </w:rPr>
            </w:pPr>
          </w:p>
        </w:tc>
        <w:tc>
          <w:tcPr>
            <w:tcW w:w="1070" w:type="dxa"/>
            <w:vAlign w:val="center"/>
          </w:tcPr>
          <w:p>
            <w:pPr>
              <w:spacing w:line="360" w:lineRule="auto"/>
              <w:rPr>
                <w:rFonts w:ascii="仿宋_GB2312" w:hAnsi="宋体" w:eastAsia="仿宋_GB2312" w:cs="仿宋_GB2312"/>
                <w:color w:val="auto"/>
                <w:sz w:val="28"/>
                <w:szCs w:val="28"/>
              </w:rPr>
            </w:pPr>
          </w:p>
        </w:tc>
        <w:tc>
          <w:tcPr>
            <w:tcW w:w="851" w:type="dxa"/>
            <w:vAlign w:val="center"/>
          </w:tcPr>
          <w:p>
            <w:pPr>
              <w:spacing w:line="360" w:lineRule="auto"/>
              <w:rPr>
                <w:rFonts w:ascii="仿宋_GB2312" w:hAnsi="宋体"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242" w:type="dxa"/>
            <w:vAlign w:val="center"/>
          </w:tcPr>
          <w:p>
            <w:pPr>
              <w:jc w:val="center"/>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w:t>
            </w:r>
          </w:p>
        </w:tc>
        <w:tc>
          <w:tcPr>
            <w:tcW w:w="1560" w:type="dxa"/>
            <w:vAlign w:val="center"/>
          </w:tcPr>
          <w:p>
            <w:pPr>
              <w:jc w:val="center"/>
              <w:rPr>
                <w:rFonts w:ascii="仿宋_GB2312" w:hAnsi="宋体" w:eastAsia="仿宋_GB2312" w:cs="仿宋_GB2312"/>
                <w:color w:val="auto"/>
                <w:sz w:val="28"/>
                <w:szCs w:val="28"/>
              </w:rPr>
            </w:pPr>
          </w:p>
        </w:tc>
        <w:tc>
          <w:tcPr>
            <w:tcW w:w="769" w:type="dxa"/>
            <w:vAlign w:val="center"/>
          </w:tcPr>
          <w:p>
            <w:pPr>
              <w:jc w:val="center"/>
              <w:rPr>
                <w:rFonts w:ascii="仿宋_GB2312" w:hAnsi="宋体" w:eastAsia="仿宋_GB2312" w:cs="仿宋_GB2312"/>
                <w:color w:val="auto"/>
                <w:sz w:val="28"/>
                <w:szCs w:val="28"/>
              </w:rPr>
            </w:pPr>
          </w:p>
        </w:tc>
        <w:tc>
          <w:tcPr>
            <w:tcW w:w="1152" w:type="dxa"/>
            <w:vAlign w:val="center"/>
          </w:tcPr>
          <w:p>
            <w:pPr>
              <w:jc w:val="center"/>
              <w:rPr>
                <w:rFonts w:ascii="仿宋_GB2312" w:hAnsi="宋体" w:eastAsia="仿宋_GB2312" w:cs="仿宋_GB2312"/>
                <w:color w:val="auto"/>
                <w:sz w:val="28"/>
                <w:szCs w:val="28"/>
              </w:rPr>
            </w:pPr>
          </w:p>
        </w:tc>
        <w:tc>
          <w:tcPr>
            <w:tcW w:w="1427" w:type="dxa"/>
            <w:vAlign w:val="center"/>
          </w:tcPr>
          <w:p>
            <w:pPr>
              <w:jc w:val="center"/>
              <w:rPr>
                <w:rFonts w:ascii="仿宋_GB2312" w:hAnsi="宋体" w:eastAsia="仿宋_GB2312" w:cs="仿宋_GB2312"/>
                <w:color w:val="auto"/>
                <w:sz w:val="28"/>
                <w:szCs w:val="28"/>
              </w:rPr>
            </w:pPr>
          </w:p>
        </w:tc>
        <w:tc>
          <w:tcPr>
            <w:tcW w:w="1427" w:type="dxa"/>
            <w:vAlign w:val="center"/>
          </w:tcPr>
          <w:p>
            <w:pPr>
              <w:jc w:val="center"/>
              <w:rPr>
                <w:rFonts w:ascii="仿宋_GB2312" w:hAnsi="宋体" w:eastAsia="仿宋_GB2312" w:cs="仿宋_GB2312"/>
                <w:color w:val="auto"/>
                <w:sz w:val="28"/>
                <w:szCs w:val="28"/>
              </w:rPr>
            </w:pPr>
          </w:p>
        </w:tc>
        <w:tc>
          <w:tcPr>
            <w:tcW w:w="1070" w:type="dxa"/>
            <w:vAlign w:val="center"/>
          </w:tcPr>
          <w:p>
            <w:pPr>
              <w:spacing w:line="360" w:lineRule="auto"/>
              <w:rPr>
                <w:rFonts w:ascii="仿宋_GB2312" w:hAnsi="宋体" w:eastAsia="仿宋_GB2312" w:cs="仿宋_GB2312"/>
                <w:color w:val="auto"/>
                <w:sz w:val="28"/>
                <w:szCs w:val="28"/>
              </w:rPr>
            </w:pPr>
          </w:p>
        </w:tc>
        <w:tc>
          <w:tcPr>
            <w:tcW w:w="851" w:type="dxa"/>
            <w:vAlign w:val="center"/>
          </w:tcPr>
          <w:p>
            <w:pPr>
              <w:spacing w:line="360" w:lineRule="auto"/>
              <w:rPr>
                <w:rFonts w:ascii="仿宋_GB2312" w:hAnsi="宋体"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9498" w:type="dxa"/>
            <w:gridSpan w:val="8"/>
            <w:vAlign w:val="center"/>
          </w:tcPr>
          <w:p>
            <w:pPr>
              <w:spacing w:line="320" w:lineRule="exact"/>
              <w:ind w:firstLine="562" w:firstLineChars="200"/>
              <w:jc w:val="left"/>
              <w:rPr>
                <w:rFonts w:ascii="仿宋_GB2312" w:hAnsi="宋体" w:eastAsia="仿宋_GB2312" w:cs="仿宋_GB2312"/>
                <w:color w:val="auto"/>
                <w:sz w:val="28"/>
                <w:szCs w:val="28"/>
              </w:rPr>
            </w:pPr>
            <w:r>
              <w:rPr>
                <w:rFonts w:hint="eastAsia" w:ascii="仿宋_GB2312" w:hAnsi="宋体" w:eastAsia="仿宋_GB2312" w:cs="仿宋_GB2312"/>
                <w:b/>
                <w:color w:val="auto"/>
                <w:sz w:val="28"/>
                <w:szCs w:val="28"/>
              </w:rPr>
              <w:t xml:space="preserve"> 投标</w:t>
            </w:r>
            <w:r>
              <w:rPr>
                <w:rFonts w:hint="eastAsia" w:ascii="仿宋_GB2312" w:hAnsi="宋体" w:eastAsia="仿宋_GB2312" w:cs="仿宋_GB2312"/>
                <w:b/>
                <w:color w:val="auto"/>
                <w:sz w:val="28"/>
                <w:szCs w:val="28"/>
                <w:lang w:val="zh-CN"/>
              </w:rPr>
              <w:t>文件中所提供的以上产品为我单位的产品，</w:t>
            </w:r>
            <w:r>
              <w:rPr>
                <w:rFonts w:hint="eastAsia" w:ascii="仿宋_GB2312" w:hAnsi="宋体" w:eastAsia="仿宋_GB2312" w:cs="仿宋_GB2312"/>
                <w:b/>
                <w:color w:val="auto"/>
                <w:sz w:val="28"/>
                <w:szCs w:val="28"/>
              </w:rPr>
              <w:t>如有虚假</w:t>
            </w:r>
            <w:r>
              <w:rPr>
                <w:rFonts w:hint="eastAsia" w:ascii="仿宋_GB2312" w:hAnsi="宋体" w:eastAsia="仿宋_GB2312" w:cs="仿宋_GB2312"/>
                <w:b/>
                <w:color w:val="auto"/>
                <w:sz w:val="28"/>
                <w:szCs w:val="28"/>
                <w:lang w:val="zh-CN"/>
              </w:rPr>
              <w:t>，我单位承担由此产生的一切后果</w:t>
            </w:r>
            <w:r>
              <w:rPr>
                <w:rFonts w:hint="eastAsia" w:ascii="仿宋_GB2312" w:hAnsi="宋体" w:eastAsia="仿宋_GB2312" w:cs="仿宋_GB2312"/>
                <w:color w:val="auto"/>
                <w:sz w:val="28"/>
                <w:szCs w:val="28"/>
                <w:lang w:val="zh-CN"/>
              </w:rPr>
              <w:t>。</w:t>
            </w:r>
          </w:p>
        </w:tc>
      </w:tr>
    </w:tbl>
    <w:p>
      <w:pPr>
        <w:adjustRightInd w:val="0"/>
        <w:snapToGrid w:val="0"/>
        <w:spacing w:beforeLines="100" w:line="360" w:lineRule="auto"/>
        <w:ind w:right="105" w:rightChars="50" w:firstLine="635" w:firstLineChars="227"/>
        <w:jc w:val="left"/>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注：1、投标人为非贫困地区农副产品生产单位的，可不提供此声明函。</w:t>
      </w:r>
    </w:p>
    <w:p>
      <w:pPr>
        <w:adjustRightInd w:val="0"/>
        <w:snapToGrid w:val="0"/>
        <w:spacing w:line="360" w:lineRule="auto"/>
        <w:ind w:right="105" w:rightChars="50" w:firstLine="635" w:firstLineChars="227"/>
        <w:jc w:val="left"/>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 xml:space="preserve">    2、如为本项目提供的农副产品是其他单位生产的，无需填写此表格，但需生产单位按此格式出具此声明。</w:t>
      </w:r>
    </w:p>
    <w:p>
      <w:pPr>
        <w:adjustRightInd w:val="0"/>
        <w:snapToGrid w:val="0"/>
        <w:spacing w:line="360" w:lineRule="auto"/>
        <w:ind w:right="105" w:rightChars="50" w:firstLine="635" w:firstLineChars="227"/>
        <w:jc w:val="left"/>
        <w:rPr>
          <w:rFonts w:ascii="仿宋_GB2312" w:hAnsi="宋体" w:eastAsia="仿宋_GB2312" w:cs="宋体"/>
          <w:color w:val="auto"/>
          <w:sz w:val="28"/>
          <w:szCs w:val="28"/>
        </w:rPr>
      </w:pPr>
    </w:p>
    <w:p>
      <w:pPr>
        <w:adjustRightInd w:val="0"/>
        <w:snapToGrid w:val="0"/>
        <w:spacing w:line="360" w:lineRule="auto"/>
        <w:ind w:right="105" w:rightChars="50" w:firstLine="635" w:firstLineChars="227"/>
        <w:jc w:val="left"/>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投标人</w:t>
      </w:r>
      <w:r>
        <w:rPr>
          <w:rFonts w:hint="eastAsia" w:ascii="仿宋_GB2312" w:hAnsi="宋体" w:eastAsia="仿宋_GB2312" w:cs="仿宋_GB2312"/>
          <w:color w:val="auto"/>
          <w:sz w:val="28"/>
          <w:szCs w:val="28"/>
          <w:u w:val="single"/>
        </w:rPr>
        <w:t xml:space="preserve">               </w:t>
      </w:r>
      <w:r>
        <w:rPr>
          <w:rFonts w:hint="eastAsia" w:ascii="仿宋_GB2312" w:hAnsi="宋体" w:eastAsia="仿宋_GB2312" w:cs="仿宋_GB2312"/>
          <w:color w:val="auto"/>
          <w:sz w:val="28"/>
          <w:szCs w:val="28"/>
        </w:rPr>
        <w:t>（单位公章）</w:t>
      </w:r>
    </w:p>
    <w:p>
      <w:pPr>
        <w:adjustRightInd w:val="0"/>
        <w:snapToGrid w:val="0"/>
        <w:spacing w:line="360" w:lineRule="auto"/>
        <w:ind w:right="105" w:rightChars="50" w:firstLine="635" w:firstLineChars="227"/>
        <w:jc w:val="left"/>
        <w:rPr>
          <w:rFonts w:ascii="仿宋_GB2312" w:hAnsi="宋体" w:eastAsia="仿宋_GB2312" w:cs="仿宋_GB2312"/>
          <w:color w:val="auto"/>
          <w:sz w:val="28"/>
          <w:szCs w:val="28"/>
        </w:rPr>
      </w:pPr>
      <w:r>
        <w:rPr>
          <w:rFonts w:hint="eastAsia" w:ascii="仿宋_GB2312" w:hAnsi="宋体" w:eastAsia="仿宋_GB2312" w:cs="仿宋_GB2312"/>
          <w:color w:val="auto"/>
          <w:sz w:val="28"/>
          <w:szCs w:val="28"/>
        </w:rPr>
        <w:t>日 期：</w:t>
      </w:r>
    </w:p>
    <w:p>
      <w:pPr>
        <w:pStyle w:val="16"/>
        <w:spacing w:beforeLines="100" w:afterLines="100" w:line="360" w:lineRule="auto"/>
        <w:jc w:val="center"/>
        <w:rPr>
          <w:rFonts w:ascii="黑体" w:hAnsi="宋体" w:eastAsia="黑体"/>
          <w:color w:val="auto"/>
          <w:sz w:val="36"/>
          <w:szCs w:val="36"/>
        </w:rPr>
      </w:pPr>
    </w:p>
    <w:p>
      <w:pPr>
        <w:pStyle w:val="16"/>
        <w:spacing w:beforeLines="100" w:afterLines="100" w:line="360" w:lineRule="auto"/>
        <w:jc w:val="center"/>
        <w:rPr>
          <w:rFonts w:ascii="黑体" w:hAnsi="宋体" w:eastAsia="黑体"/>
          <w:color w:val="auto"/>
          <w:sz w:val="36"/>
          <w:szCs w:val="36"/>
        </w:rPr>
      </w:pPr>
    </w:p>
    <w:p>
      <w:pPr>
        <w:pStyle w:val="16"/>
        <w:spacing w:beforeLines="100" w:afterLines="100" w:line="360" w:lineRule="auto"/>
        <w:jc w:val="center"/>
        <w:rPr>
          <w:rFonts w:ascii="黑体" w:hAnsi="宋体" w:eastAsia="黑体"/>
          <w:color w:val="auto"/>
          <w:sz w:val="36"/>
          <w:szCs w:val="36"/>
        </w:rPr>
      </w:pPr>
    </w:p>
    <w:p>
      <w:pPr>
        <w:pStyle w:val="16"/>
        <w:spacing w:beforeLines="100" w:afterLines="100" w:line="360" w:lineRule="auto"/>
        <w:jc w:val="center"/>
        <w:rPr>
          <w:rFonts w:ascii="黑体" w:hAnsi="宋体" w:eastAsia="黑体"/>
          <w:color w:val="auto"/>
          <w:sz w:val="36"/>
          <w:szCs w:val="36"/>
        </w:rPr>
      </w:pPr>
      <w:r>
        <w:rPr>
          <w:rFonts w:hint="eastAsia" w:ascii="黑体" w:hAnsi="宋体" w:eastAsia="黑体"/>
          <w:color w:val="auto"/>
          <w:sz w:val="36"/>
          <w:szCs w:val="36"/>
        </w:rPr>
        <w:t>11、投标人企业实力及履约能力证明材料</w:t>
      </w:r>
    </w:p>
    <w:p>
      <w:pPr>
        <w:pStyle w:val="13"/>
        <w:tabs>
          <w:tab w:val="left" w:pos="600"/>
        </w:tabs>
        <w:spacing w:after="0" w:line="460" w:lineRule="exact"/>
        <w:ind w:left="0" w:leftChars="0"/>
        <w:rPr>
          <w:rFonts w:ascii="仿宋_GB2312" w:hAnsi="宋体" w:eastAsia="仿宋_GB2312"/>
          <w:b/>
          <w:color w:val="auto"/>
          <w:sz w:val="24"/>
        </w:rPr>
      </w:pPr>
    </w:p>
    <w:p>
      <w:pPr>
        <w:pStyle w:val="13"/>
        <w:tabs>
          <w:tab w:val="left" w:pos="600"/>
        </w:tabs>
        <w:spacing w:after="0" w:line="460" w:lineRule="exact"/>
        <w:ind w:left="0" w:leftChars="0"/>
        <w:jc w:val="center"/>
        <w:rPr>
          <w:rFonts w:ascii="仿宋_GB2312" w:hAnsi="宋体" w:eastAsia="仿宋_GB2312"/>
          <w:b/>
          <w:color w:val="auto"/>
          <w:sz w:val="28"/>
          <w:szCs w:val="28"/>
        </w:rPr>
      </w:pPr>
      <w:r>
        <w:rPr>
          <w:rFonts w:hint="eastAsia" w:ascii="仿宋_GB2312" w:hAnsi="宋体" w:eastAsia="仿宋_GB2312"/>
          <w:b/>
          <w:color w:val="auto"/>
          <w:sz w:val="28"/>
          <w:szCs w:val="28"/>
        </w:rPr>
        <w:t>格式及内容由投标人自拟</w:t>
      </w:r>
    </w:p>
    <w:p>
      <w:pPr>
        <w:pStyle w:val="16"/>
        <w:spacing w:beforeLines="100" w:afterLines="100" w:line="360" w:lineRule="auto"/>
        <w:jc w:val="center"/>
        <w:rPr>
          <w:rFonts w:ascii="黑体" w:hAnsi="宋体" w:eastAsia="黑体"/>
          <w:color w:val="auto"/>
          <w:sz w:val="36"/>
          <w:szCs w:val="36"/>
        </w:rPr>
      </w:pPr>
    </w:p>
    <w:p>
      <w:pPr>
        <w:pStyle w:val="16"/>
        <w:spacing w:beforeLines="100" w:afterLines="100" w:line="360" w:lineRule="auto"/>
        <w:jc w:val="center"/>
        <w:rPr>
          <w:rFonts w:ascii="黑体" w:hAnsi="宋体" w:eastAsia="黑体"/>
          <w:color w:val="auto"/>
          <w:sz w:val="36"/>
          <w:szCs w:val="36"/>
        </w:rPr>
      </w:pPr>
    </w:p>
    <w:p>
      <w:pPr>
        <w:pStyle w:val="16"/>
        <w:spacing w:beforeLines="100" w:afterLines="100" w:line="360" w:lineRule="auto"/>
        <w:jc w:val="center"/>
        <w:rPr>
          <w:rFonts w:ascii="黑体" w:hAnsi="宋体" w:eastAsia="黑体"/>
          <w:color w:val="auto"/>
          <w:sz w:val="36"/>
          <w:szCs w:val="36"/>
        </w:rPr>
      </w:pPr>
      <w:r>
        <w:rPr>
          <w:rFonts w:hint="eastAsia" w:ascii="黑体" w:hAnsi="宋体" w:eastAsia="黑体"/>
          <w:color w:val="auto"/>
          <w:sz w:val="36"/>
          <w:szCs w:val="36"/>
        </w:rPr>
        <w:t>12、投标人认为需要提供的依据及证明材料</w:t>
      </w:r>
    </w:p>
    <w:p>
      <w:pPr>
        <w:pStyle w:val="13"/>
        <w:tabs>
          <w:tab w:val="left" w:pos="600"/>
        </w:tabs>
        <w:spacing w:after="0" w:line="460" w:lineRule="exact"/>
        <w:ind w:left="0" w:leftChars="0"/>
        <w:jc w:val="center"/>
        <w:rPr>
          <w:rFonts w:ascii="仿宋_GB2312" w:hAnsi="宋体" w:eastAsia="仿宋_GB2312"/>
          <w:b/>
          <w:color w:val="auto"/>
          <w:sz w:val="28"/>
          <w:szCs w:val="28"/>
        </w:rPr>
      </w:pPr>
      <w:r>
        <w:rPr>
          <w:rFonts w:hint="eastAsia" w:ascii="仿宋_GB2312" w:hAnsi="宋体" w:eastAsia="仿宋_GB2312"/>
          <w:b/>
          <w:color w:val="auto"/>
          <w:sz w:val="28"/>
          <w:szCs w:val="28"/>
        </w:rPr>
        <w:t>格式及内容由投标人自拟</w:t>
      </w:r>
    </w:p>
    <w:p>
      <w:pPr>
        <w:pStyle w:val="16"/>
        <w:spacing w:beforeLines="100" w:afterLines="100" w:line="360" w:lineRule="auto"/>
        <w:jc w:val="center"/>
        <w:rPr>
          <w:rFonts w:ascii="黑体" w:hAnsi="宋体" w:eastAsia="黑体"/>
          <w:color w:val="auto"/>
          <w:sz w:val="36"/>
          <w:szCs w:val="36"/>
        </w:rPr>
      </w:pPr>
    </w:p>
    <w:p>
      <w:pPr>
        <w:pStyle w:val="16"/>
        <w:spacing w:beforeLines="100" w:afterLines="100" w:line="360" w:lineRule="auto"/>
        <w:jc w:val="center"/>
        <w:rPr>
          <w:rFonts w:ascii="黑体" w:hAnsi="宋体" w:eastAsia="黑体"/>
          <w:color w:val="auto"/>
          <w:sz w:val="36"/>
          <w:szCs w:val="36"/>
        </w:rPr>
      </w:pPr>
    </w:p>
    <w:p>
      <w:pPr>
        <w:pStyle w:val="16"/>
        <w:spacing w:beforeLines="100" w:afterLines="100" w:line="360" w:lineRule="auto"/>
        <w:jc w:val="center"/>
        <w:rPr>
          <w:rFonts w:ascii="黑体" w:hAnsi="宋体" w:eastAsia="黑体"/>
          <w:color w:val="auto"/>
          <w:sz w:val="36"/>
          <w:szCs w:val="36"/>
        </w:rPr>
      </w:pPr>
    </w:p>
    <w:p>
      <w:pPr>
        <w:pStyle w:val="16"/>
        <w:spacing w:beforeLines="100" w:afterLines="100" w:line="360" w:lineRule="auto"/>
        <w:jc w:val="center"/>
        <w:rPr>
          <w:rFonts w:ascii="黑体" w:hAnsi="宋体" w:eastAsia="黑体"/>
          <w:color w:val="auto"/>
          <w:sz w:val="36"/>
          <w:szCs w:val="36"/>
        </w:rPr>
      </w:pPr>
    </w:p>
    <w:p>
      <w:pPr>
        <w:pStyle w:val="16"/>
        <w:spacing w:beforeLines="100" w:afterLines="100" w:line="360" w:lineRule="auto"/>
        <w:jc w:val="center"/>
        <w:rPr>
          <w:rFonts w:ascii="黑体" w:hAnsi="宋体" w:eastAsia="黑体"/>
          <w:color w:val="auto"/>
          <w:sz w:val="36"/>
          <w:szCs w:val="36"/>
        </w:rPr>
      </w:pPr>
    </w:p>
    <w:p>
      <w:pPr>
        <w:pStyle w:val="16"/>
        <w:spacing w:beforeLines="100" w:afterLines="100" w:line="360" w:lineRule="auto"/>
        <w:jc w:val="center"/>
        <w:rPr>
          <w:rFonts w:ascii="黑体" w:hAnsi="宋体" w:eastAsia="黑体"/>
          <w:color w:val="auto"/>
          <w:sz w:val="36"/>
          <w:szCs w:val="36"/>
        </w:rPr>
      </w:pPr>
    </w:p>
    <w:p>
      <w:pPr>
        <w:pStyle w:val="16"/>
        <w:spacing w:beforeLines="100" w:afterLines="100" w:line="360" w:lineRule="auto"/>
        <w:jc w:val="center"/>
        <w:rPr>
          <w:rFonts w:ascii="黑体" w:hAnsi="宋体" w:eastAsia="黑体"/>
          <w:color w:val="auto"/>
          <w:sz w:val="36"/>
          <w:szCs w:val="36"/>
        </w:rPr>
      </w:pPr>
    </w:p>
    <w:p>
      <w:pPr>
        <w:pStyle w:val="16"/>
        <w:spacing w:beforeLines="100" w:afterLines="100" w:line="360" w:lineRule="auto"/>
        <w:jc w:val="center"/>
        <w:rPr>
          <w:rFonts w:ascii="黑体" w:hAnsi="宋体" w:eastAsia="黑体"/>
          <w:color w:val="auto"/>
          <w:sz w:val="36"/>
          <w:szCs w:val="36"/>
        </w:rPr>
      </w:pPr>
    </w:p>
    <w:p>
      <w:pPr>
        <w:pStyle w:val="16"/>
        <w:spacing w:beforeLines="100" w:afterLines="100" w:line="360" w:lineRule="auto"/>
        <w:jc w:val="center"/>
        <w:rPr>
          <w:rFonts w:ascii="黑体" w:hAnsi="宋体" w:eastAsia="黑体"/>
          <w:color w:val="auto"/>
          <w:sz w:val="36"/>
          <w:szCs w:val="36"/>
        </w:rPr>
      </w:pPr>
    </w:p>
    <w:p>
      <w:pPr>
        <w:pStyle w:val="2"/>
        <w:rPr>
          <w:rFonts w:ascii="黑体" w:hAnsi="黑体" w:eastAsia="黑体"/>
          <w:color w:val="auto"/>
          <w:sz w:val="30"/>
          <w:szCs w:val="30"/>
        </w:rPr>
        <w:sectPr>
          <w:pgSz w:w="11906" w:h="16838"/>
          <w:pgMar w:top="1440" w:right="1080" w:bottom="1440" w:left="1080" w:header="851" w:footer="992" w:gutter="0"/>
          <w:cols w:space="425" w:num="1"/>
          <w:docGrid w:linePitch="312" w:charSpace="0"/>
        </w:sectPr>
      </w:pPr>
    </w:p>
    <w:p>
      <w:pPr>
        <w:pStyle w:val="2"/>
        <w:rPr>
          <w:rFonts w:ascii="黑体" w:hAnsi="黑体" w:eastAsia="黑体"/>
          <w:color w:val="auto"/>
          <w:sz w:val="30"/>
          <w:szCs w:val="30"/>
        </w:rPr>
      </w:pPr>
      <w:r>
        <w:rPr>
          <w:rFonts w:hint="eastAsia" w:ascii="黑体" w:hAnsi="黑体" w:eastAsia="黑体"/>
          <w:color w:val="auto"/>
          <w:sz w:val="30"/>
          <w:szCs w:val="30"/>
        </w:rPr>
        <w:t>二、技术部分</w:t>
      </w:r>
    </w:p>
    <w:p>
      <w:pPr>
        <w:pStyle w:val="16"/>
        <w:spacing w:beforeLines="100" w:afterLines="100" w:line="360" w:lineRule="auto"/>
        <w:jc w:val="center"/>
        <w:rPr>
          <w:rFonts w:ascii="黑体" w:hAnsi="宋体" w:eastAsia="黑体"/>
          <w:color w:val="auto"/>
          <w:sz w:val="36"/>
          <w:szCs w:val="36"/>
        </w:rPr>
      </w:pPr>
      <w:r>
        <w:rPr>
          <w:rFonts w:hint="eastAsia" w:ascii="黑体" w:hAnsi="宋体" w:eastAsia="黑体"/>
          <w:color w:val="auto"/>
          <w:sz w:val="36"/>
          <w:szCs w:val="36"/>
        </w:rPr>
        <w:t>1、货物技术参数及配置偏离表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276"/>
        <w:gridCol w:w="7087"/>
        <w:gridCol w:w="1987"/>
        <w:gridCol w:w="1276"/>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blHeader/>
          <w:jc w:val="center"/>
        </w:trPr>
        <w:tc>
          <w:tcPr>
            <w:tcW w:w="288" w:type="pct"/>
            <w:tcBorders>
              <w:top w:val="single" w:color="auto" w:sz="12" w:space="0"/>
              <w:left w:val="single" w:color="auto" w:sz="12" w:space="0"/>
              <w:bottom w:val="single" w:color="auto" w:sz="2" w:space="0"/>
            </w:tcBorders>
            <w:vAlign w:val="center"/>
          </w:tcPr>
          <w:p>
            <w:pPr>
              <w:spacing w:beforeLines="50" w:afterLines="50" w:line="240" w:lineRule="exact"/>
              <w:jc w:val="center"/>
              <w:rPr>
                <w:rFonts w:ascii="仿宋_GB2312" w:hAnsi="宋体" w:eastAsia="仿宋_GB2312"/>
                <w:color w:val="auto"/>
                <w:sz w:val="24"/>
              </w:rPr>
            </w:pPr>
            <w:r>
              <w:rPr>
                <w:rFonts w:hint="eastAsia" w:ascii="仿宋_GB2312" w:hAnsi="宋体" w:eastAsia="仿宋_GB2312"/>
                <w:color w:val="auto"/>
                <w:sz w:val="24"/>
              </w:rPr>
              <w:t>序号</w:t>
            </w:r>
          </w:p>
        </w:tc>
        <w:tc>
          <w:tcPr>
            <w:tcW w:w="450" w:type="pct"/>
            <w:tcBorders>
              <w:top w:val="single" w:color="auto" w:sz="12" w:space="0"/>
              <w:bottom w:val="single" w:color="auto" w:sz="2" w:space="0"/>
            </w:tcBorders>
            <w:vAlign w:val="center"/>
          </w:tcPr>
          <w:p>
            <w:pPr>
              <w:spacing w:beforeLines="50" w:afterLines="50" w:line="240" w:lineRule="exact"/>
              <w:jc w:val="center"/>
              <w:rPr>
                <w:rFonts w:ascii="仿宋_GB2312" w:hAnsi="宋体" w:eastAsia="仿宋_GB2312"/>
                <w:color w:val="auto"/>
                <w:sz w:val="24"/>
              </w:rPr>
            </w:pPr>
            <w:r>
              <w:rPr>
                <w:rFonts w:hint="eastAsia" w:ascii="仿宋_GB2312" w:hAnsi="宋体" w:eastAsia="仿宋_GB2312"/>
                <w:color w:val="auto"/>
                <w:sz w:val="24"/>
              </w:rPr>
              <w:t>货物名称</w:t>
            </w:r>
          </w:p>
        </w:tc>
        <w:tc>
          <w:tcPr>
            <w:tcW w:w="2500" w:type="pct"/>
            <w:tcBorders>
              <w:top w:val="single" w:color="auto" w:sz="12" w:space="0"/>
              <w:bottom w:val="single" w:color="auto" w:sz="2" w:space="0"/>
            </w:tcBorders>
            <w:vAlign w:val="center"/>
          </w:tcPr>
          <w:p>
            <w:pPr>
              <w:spacing w:beforeLines="50" w:afterLines="50" w:line="240" w:lineRule="exact"/>
              <w:jc w:val="center"/>
              <w:rPr>
                <w:rFonts w:ascii="仿宋_GB2312" w:hAnsi="宋体" w:eastAsia="仿宋_GB2312"/>
                <w:color w:val="auto"/>
                <w:sz w:val="24"/>
              </w:rPr>
            </w:pPr>
            <w:r>
              <w:rPr>
                <w:rFonts w:hint="eastAsia" w:ascii="仿宋_GB2312" w:hAnsi="宋体" w:eastAsia="仿宋_GB2312"/>
                <w:color w:val="auto"/>
                <w:sz w:val="24"/>
              </w:rPr>
              <w:t>招标文件</w:t>
            </w:r>
          </w:p>
          <w:p>
            <w:pPr>
              <w:spacing w:beforeLines="50" w:afterLines="50" w:line="240" w:lineRule="exact"/>
              <w:jc w:val="center"/>
              <w:rPr>
                <w:rFonts w:ascii="仿宋_GB2312" w:hAnsi="宋体" w:eastAsia="仿宋_GB2312"/>
                <w:color w:val="auto"/>
                <w:sz w:val="24"/>
              </w:rPr>
            </w:pPr>
            <w:r>
              <w:rPr>
                <w:rFonts w:hint="eastAsia" w:ascii="仿宋_GB2312" w:hAnsi="宋体" w:eastAsia="仿宋_GB2312"/>
                <w:color w:val="auto"/>
                <w:sz w:val="24"/>
              </w:rPr>
              <w:t>技术参数及配置要求</w:t>
            </w:r>
          </w:p>
        </w:tc>
        <w:tc>
          <w:tcPr>
            <w:tcW w:w="701" w:type="pct"/>
            <w:tcBorders>
              <w:top w:val="single" w:color="auto" w:sz="12" w:space="0"/>
              <w:bottom w:val="single" w:color="auto" w:sz="2" w:space="0"/>
            </w:tcBorders>
            <w:vAlign w:val="center"/>
          </w:tcPr>
          <w:p>
            <w:pPr>
              <w:spacing w:beforeLines="50" w:afterLines="50" w:line="240" w:lineRule="exact"/>
              <w:jc w:val="center"/>
              <w:rPr>
                <w:rFonts w:ascii="仿宋_GB2312" w:hAnsi="宋体" w:eastAsia="仿宋_GB2312"/>
                <w:color w:val="auto"/>
                <w:sz w:val="24"/>
              </w:rPr>
            </w:pPr>
            <w:r>
              <w:rPr>
                <w:rFonts w:hint="eastAsia" w:ascii="仿宋_GB2312" w:hAnsi="宋体" w:eastAsia="仿宋_GB2312"/>
                <w:color w:val="auto"/>
                <w:sz w:val="24"/>
              </w:rPr>
              <w:t>投标货物</w:t>
            </w:r>
          </w:p>
          <w:p>
            <w:pPr>
              <w:spacing w:beforeLines="50" w:afterLines="50" w:line="240" w:lineRule="exact"/>
              <w:jc w:val="center"/>
              <w:rPr>
                <w:rFonts w:ascii="仿宋_GB2312" w:hAnsi="宋体" w:eastAsia="仿宋_GB2312"/>
                <w:color w:val="auto"/>
                <w:sz w:val="24"/>
              </w:rPr>
            </w:pPr>
            <w:r>
              <w:rPr>
                <w:rFonts w:hint="eastAsia" w:ascii="仿宋_GB2312" w:hAnsi="宋体" w:eastAsia="仿宋_GB2312"/>
                <w:color w:val="auto"/>
                <w:sz w:val="24"/>
              </w:rPr>
              <w:t>技术参数及配置</w:t>
            </w:r>
          </w:p>
        </w:tc>
        <w:tc>
          <w:tcPr>
            <w:tcW w:w="450" w:type="pct"/>
            <w:tcBorders>
              <w:top w:val="single" w:color="auto" w:sz="12" w:space="0"/>
              <w:bottom w:val="single" w:color="auto" w:sz="2" w:space="0"/>
            </w:tcBorders>
            <w:vAlign w:val="center"/>
          </w:tcPr>
          <w:p>
            <w:pPr>
              <w:spacing w:beforeLines="50" w:afterLines="50" w:line="240" w:lineRule="exact"/>
              <w:jc w:val="center"/>
              <w:rPr>
                <w:rFonts w:ascii="仿宋_GB2312" w:hAnsi="宋体" w:eastAsia="仿宋_GB2312"/>
                <w:color w:val="auto"/>
                <w:sz w:val="24"/>
              </w:rPr>
            </w:pPr>
            <w:r>
              <w:rPr>
                <w:rFonts w:hint="eastAsia" w:ascii="仿宋_GB2312" w:hAnsi="宋体" w:eastAsia="仿宋_GB2312"/>
                <w:color w:val="auto"/>
                <w:sz w:val="24"/>
              </w:rPr>
              <w:t>偏离情况</w:t>
            </w:r>
          </w:p>
        </w:tc>
        <w:tc>
          <w:tcPr>
            <w:tcW w:w="611" w:type="pct"/>
            <w:tcBorders>
              <w:top w:val="single" w:color="auto" w:sz="12" w:space="0"/>
              <w:bottom w:val="single" w:color="auto" w:sz="2" w:space="0"/>
              <w:right w:val="single" w:color="auto" w:sz="12" w:space="0"/>
            </w:tcBorders>
            <w:vAlign w:val="center"/>
          </w:tcPr>
          <w:p>
            <w:pPr>
              <w:spacing w:beforeLines="50" w:afterLines="50" w:line="240" w:lineRule="exact"/>
              <w:jc w:val="center"/>
              <w:rPr>
                <w:rFonts w:ascii="仿宋_GB2312" w:hAnsi="宋体" w:eastAsia="仿宋_GB2312"/>
                <w:color w:val="auto"/>
                <w:sz w:val="24"/>
              </w:rPr>
            </w:pPr>
            <w:r>
              <w:rPr>
                <w:rFonts w:hint="eastAsia" w:ascii="仿宋_GB2312" w:hAnsi="宋体" w:eastAsia="仿宋_GB2312"/>
                <w:color w:val="auto"/>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88" w:type="pct"/>
            <w:vMerge w:val="restart"/>
            <w:tcBorders>
              <w:top w:val="single" w:color="auto" w:sz="2" w:space="0"/>
              <w:left w:val="single" w:color="auto" w:sz="12" w:space="0"/>
            </w:tcBorders>
            <w:vAlign w:val="center"/>
          </w:tcPr>
          <w:p>
            <w:pPr>
              <w:jc w:val="center"/>
              <w:rPr>
                <w:rFonts w:ascii="仿宋_GB2312" w:eastAsia="仿宋_GB2312"/>
                <w:color w:val="auto"/>
                <w:sz w:val="24"/>
              </w:rPr>
            </w:pPr>
            <w:r>
              <w:rPr>
                <w:rFonts w:hint="eastAsia" w:ascii="仿宋_GB2312" w:eastAsia="仿宋_GB2312"/>
                <w:color w:val="auto"/>
                <w:sz w:val="24"/>
              </w:rPr>
              <w:t>1</w:t>
            </w:r>
          </w:p>
        </w:tc>
        <w:tc>
          <w:tcPr>
            <w:tcW w:w="450" w:type="pct"/>
            <w:vMerge w:val="restart"/>
            <w:tcBorders>
              <w:top w:val="single" w:color="auto" w:sz="2" w:space="0"/>
            </w:tcBorders>
            <w:vAlign w:val="center"/>
          </w:tcPr>
          <w:p>
            <w:pPr>
              <w:jc w:val="center"/>
              <w:rPr>
                <w:rFonts w:ascii="仿宋_GB2312" w:eastAsia="仿宋_GB2312"/>
                <w:color w:val="auto"/>
                <w:sz w:val="24"/>
              </w:rPr>
            </w:pPr>
            <w:r>
              <w:rPr>
                <w:rFonts w:hint="eastAsia" w:ascii="仿宋_GB2312" w:eastAsia="仿宋_GB2312"/>
                <w:color w:val="auto"/>
                <w:sz w:val="24"/>
              </w:rPr>
              <w:t>智能LED教室灯</w:t>
            </w:r>
          </w:p>
        </w:tc>
        <w:tc>
          <w:tcPr>
            <w:tcW w:w="2500" w:type="pct"/>
            <w:tcBorders>
              <w:top w:val="single" w:color="auto" w:sz="2" w:space="0"/>
              <w:bottom w:val="single" w:color="auto" w:sz="2" w:space="0"/>
            </w:tcBorders>
          </w:tcPr>
          <w:p>
            <w:pPr>
              <w:spacing w:beforeLines="50" w:afterLines="50"/>
              <w:jc w:val="left"/>
              <w:rPr>
                <w:rFonts w:ascii="仿宋_GB2312" w:hAnsi="宋体" w:eastAsia="仿宋_GB2312"/>
                <w:color w:val="auto"/>
                <w:sz w:val="24"/>
              </w:rPr>
            </w:pPr>
            <w:r>
              <w:rPr>
                <w:rFonts w:hint="eastAsia" w:ascii="仿宋_GB2312" w:hAnsi="宋体" w:eastAsia="仿宋_GB2312" w:cs="Arial"/>
                <w:color w:val="auto"/>
                <w:sz w:val="24"/>
              </w:rPr>
              <w:t>1、一体式LED格栅防眩灯具，额定功率30-50W，建议尺寸长度≥1000mm</w:t>
            </w:r>
          </w:p>
        </w:tc>
        <w:tc>
          <w:tcPr>
            <w:tcW w:w="701" w:type="pct"/>
            <w:tcBorders>
              <w:top w:val="single" w:color="auto" w:sz="2" w:space="0"/>
              <w:bottom w:val="single" w:color="auto" w:sz="2" w:space="0"/>
            </w:tcBorders>
          </w:tcPr>
          <w:p>
            <w:pPr>
              <w:spacing w:beforeLines="50" w:afterLines="50"/>
              <w:jc w:val="center"/>
              <w:rPr>
                <w:rFonts w:ascii="仿宋_GB2312" w:hAnsi="宋体" w:eastAsia="仿宋_GB2312"/>
                <w:color w:val="auto"/>
                <w:sz w:val="24"/>
              </w:rPr>
            </w:pPr>
          </w:p>
        </w:tc>
        <w:tc>
          <w:tcPr>
            <w:tcW w:w="450" w:type="pct"/>
            <w:tcBorders>
              <w:top w:val="single" w:color="auto" w:sz="2" w:space="0"/>
              <w:bottom w:val="single" w:color="auto" w:sz="2"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2" w:space="0"/>
              <w:bottom w:val="single" w:color="auto" w:sz="2"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2" w:space="0"/>
              <w:bottom w:val="single" w:color="auto" w:sz="2" w:space="0"/>
            </w:tcBorders>
          </w:tcPr>
          <w:p>
            <w:pPr>
              <w:spacing w:beforeLines="50" w:afterLines="50"/>
              <w:jc w:val="left"/>
              <w:rPr>
                <w:rFonts w:ascii="仿宋_GB2312" w:hAnsi="宋体" w:eastAsia="仿宋_GB2312"/>
                <w:color w:val="auto"/>
                <w:sz w:val="24"/>
              </w:rPr>
            </w:pPr>
            <w:r>
              <w:rPr>
                <w:rFonts w:hint="eastAsia" w:ascii="仿宋_GB2312" w:hAnsi="宋体" w:eastAsia="仿宋_GB2312" w:cs="Arial"/>
                <w:color w:val="auto"/>
                <w:sz w:val="24"/>
              </w:rPr>
              <w:t>2、LED教室灯15000小时或以上时间的光通维持率≥90%（15000小时或以上时间的光通量与0或1000小时的光通量之比）</w:t>
            </w:r>
          </w:p>
        </w:tc>
        <w:tc>
          <w:tcPr>
            <w:tcW w:w="701" w:type="pct"/>
            <w:tcBorders>
              <w:top w:val="single" w:color="auto" w:sz="2" w:space="0"/>
              <w:bottom w:val="single" w:color="auto" w:sz="2" w:space="0"/>
            </w:tcBorders>
          </w:tcPr>
          <w:p>
            <w:pPr>
              <w:spacing w:beforeLines="50" w:afterLines="50"/>
              <w:jc w:val="center"/>
              <w:rPr>
                <w:rFonts w:ascii="仿宋_GB2312" w:hAnsi="宋体" w:eastAsia="仿宋_GB2312"/>
                <w:color w:val="auto"/>
                <w:sz w:val="24"/>
              </w:rPr>
            </w:pPr>
          </w:p>
        </w:tc>
        <w:tc>
          <w:tcPr>
            <w:tcW w:w="450" w:type="pct"/>
            <w:tcBorders>
              <w:top w:val="single" w:color="auto" w:sz="2" w:space="0"/>
              <w:bottom w:val="single" w:color="auto" w:sz="2"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2" w:space="0"/>
              <w:bottom w:val="single" w:color="auto" w:sz="2"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2" w:space="0"/>
              <w:bottom w:val="single" w:color="auto" w:sz="2"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3、LED教室灯色温（相关色温）在初始测试（0或1000小时）及15000小时或以上均满足3300-5500K</w:t>
            </w:r>
          </w:p>
        </w:tc>
        <w:tc>
          <w:tcPr>
            <w:tcW w:w="701" w:type="pct"/>
            <w:tcBorders>
              <w:top w:val="single" w:color="auto" w:sz="2" w:space="0"/>
              <w:bottom w:val="single" w:color="auto" w:sz="2" w:space="0"/>
            </w:tcBorders>
          </w:tcPr>
          <w:p>
            <w:pPr>
              <w:spacing w:beforeLines="50" w:afterLines="50"/>
              <w:jc w:val="center"/>
              <w:rPr>
                <w:rFonts w:ascii="仿宋_GB2312" w:hAnsi="宋体" w:eastAsia="仿宋_GB2312"/>
                <w:color w:val="auto"/>
                <w:sz w:val="24"/>
              </w:rPr>
            </w:pPr>
          </w:p>
        </w:tc>
        <w:tc>
          <w:tcPr>
            <w:tcW w:w="450" w:type="pct"/>
            <w:tcBorders>
              <w:top w:val="single" w:color="auto" w:sz="2" w:space="0"/>
              <w:bottom w:val="single" w:color="auto" w:sz="2"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2" w:space="0"/>
              <w:bottom w:val="single" w:color="auto" w:sz="2"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2" w:space="0"/>
              <w:bottom w:val="single" w:color="auto" w:sz="2"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4、LED教室灯显色指数在初始测试（0或1000小时）及15000小时或以上均满足Ra≥90、R9≥50</w:t>
            </w:r>
          </w:p>
        </w:tc>
        <w:tc>
          <w:tcPr>
            <w:tcW w:w="701" w:type="pct"/>
            <w:tcBorders>
              <w:top w:val="single" w:color="auto" w:sz="2" w:space="0"/>
              <w:bottom w:val="single" w:color="auto" w:sz="2" w:space="0"/>
            </w:tcBorders>
          </w:tcPr>
          <w:p>
            <w:pPr>
              <w:spacing w:beforeLines="50" w:afterLines="50"/>
              <w:jc w:val="center"/>
              <w:rPr>
                <w:rFonts w:ascii="仿宋_GB2312" w:hAnsi="宋体" w:eastAsia="仿宋_GB2312"/>
                <w:color w:val="auto"/>
                <w:sz w:val="24"/>
              </w:rPr>
            </w:pPr>
          </w:p>
        </w:tc>
        <w:tc>
          <w:tcPr>
            <w:tcW w:w="450" w:type="pct"/>
            <w:tcBorders>
              <w:top w:val="single" w:color="auto" w:sz="2" w:space="0"/>
              <w:bottom w:val="single" w:color="auto" w:sz="2"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2" w:space="0"/>
              <w:bottom w:val="single" w:color="auto" w:sz="2"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2" w:space="0"/>
              <w:bottom w:val="single" w:color="auto" w:sz="2"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5、LED教室灯色容差（色品容差）在初始测试（0或1000小时）及15000小时或以上均满足≤6 SDCM</w:t>
            </w:r>
          </w:p>
        </w:tc>
        <w:tc>
          <w:tcPr>
            <w:tcW w:w="701" w:type="pct"/>
            <w:tcBorders>
              <w:top w:val="single" w:color="auto" w:sz="2" w:space="0"/>
              <w:bottom w:val="single" w:color="auto" w:sz="2" w:space="0"/>
            </w:tcBorders>
          </w:tcPr>
          <w:p>
            <w:pPr>
              <w:spacing w:beforeLines="50" w:afterLines="50"/>
              <w:jc w:val="center"/>
              <w:rPr>
                <w:rFonts w:ascii="仿宋_GB2312" w:hAnsi="宋体" w:eastAsia="仿宋_GB2312"/>
                <w:color w:val="auto"/>
                <w:sz w:val="24"/>
              </w:rPr>
            </w:pPr>
          </w:p>
        </w:tc>
        <w:tc>
          <w:tcPr>
            <w:tcW w:w="450" w:type="pct"/>
            <w:tcBorders>
              <w:top w:val="single" w:color="auto" w:sz="2" w:space="0"/>
              <w:bottom w:val="single" w:color="auto" w:sz="2"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2" w:space="0"/>
              <w:bottom w:val="single" w:color="auto" w:sz="2"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2" w:space="0"/>
              <w:bottom w:val="single" w:color="auto" w:sz="2"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6、LED教室灯满足光束角（半峰光束角）在C0-C180面及C90-C270面15000小时或以上与初始测试（0或1000小时）的差值（绝对值）均≤5°</w:t>
            </w:r>
          </w:p>
        </w:tc>
        <w:tc>
          <w:tcPr>
            <w:tcW w:w="701" w:type="pct"/>
            <w:tcBorders>
              <w:top w:val="single" w:color="auto" w:sz="2" w:space="0"/>
              <w:bottom w:val="single" w:color="auto" w:sz="2" w:space="0"/>
            </w:tcBorders>
          </w:tcPr>
          <w:p>
            <w:pPr>
              <w:spacing w:beforeLines="50" w:afterLines="50"/>
              <w:jc w:val="center"/>
              <w:rPr>
                <w:rFonts w:ascii="仿宋_GB2312" w:hAnsi="宋体" w:eastAsia="仿宋_GB2312"/>
                <w:color w:val="auto"/>
                <w:sz w:val="24"/>
              </w:rPr>
            </w:pPr>
          </w:p>
        </w:tc>
        <w:tc>
          <w:tcPr>
            <w:tcW w:w="450" w:type="pct"/>
            <w:tcBorders>
              <w:top w:val="single" w:color="auto" w:sz="2" w:space="0"/>
              <w:bottom w:val="single" w:color="auto" w:sz="2"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2" w:space="0"/>
              <w:bottom w:val="single" w:color="auto" w:sz="2"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2" w:space="0"/>
              <w:bottom w:val="single" w:color="auto" w:sz="2"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7、LED教室灯人体电磁辐射测试满足20kHz-10MHz感应电流密度系数≤0.85</w:t>
            </w:r>
          </w:p>
        </w:tc>
        <w:tc>
          <w:tcPr>
            <w:tcW w:w="701" w:type="pct"/>
            <w:tcBorders>
              <w:top w:val="single" w:color="auto" w:sz="2" w:space="0"/>
              <w:bottom w:val="single" w:color="auto" w:sz="2" w:space="0"/>
            </w:tcBorders>
          </w:tcPr>
          <w:p>
            <w:pPr>
              <w:spacing w:beforeLines="50" w:afterLines="50"/>
              <w:jc w:val="center"/>
              <w:rPr>
                <w:rFonts w:ascii="仿宋_GB2312" w:hAnsi="宋体" w:eastAsia="仿宋_GB2312"/>
                <w:color w:val="auto"/>
                <w:sz w:val="24"/>
              </w:rPr>
            </w:pPr>
          </w:p>
        </w:tc>
        <w:tc>
          <w:tcPr>
            <w:tcW w:w="450" w:type="pct"/>
            <w:tcBorders>
              <w:top w:val="single" w:color="auto" w:sz="2" w:space="0"/>
              <w:bottom w:val="single" w:color="auto" w:sz="2"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2" w:space="0"/>
              <w:bottom w:val="single" w:color="auto" w:sz="2"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8、LED教室灯电器电子产品认证结果符合《GB/T 26572-2011》及《GB/T 26125-2011》标准要求</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9、LED教室灯频闪质量特征认证结果为无危害频闪或无频闪危害</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10、LED教室灯蓝光危害等级为RG0（0类危险），且蓝光质量特征为低蓝光</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11、LED教室灯护眼质量特征认证结果为眼舒适</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12、LED教室灯依据《GB 7793-2010》《GB 50034-2013》《GB/T 5700-2008 》及《GB 7000.1-2015》要求通过光环境认证</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rPr>
                <w:rFonts w:ascii="仿宋_GB2312" w:hAnsi="宋体" w:eastAsia="仿宋_GB2312"/>
                <w:color w:val="auto"/>
                <w:sz w:val="24"/>
              </w:rPr>
            </w:pPr>
            <w:r>
              <w:rPr>
                <w:rFonts w:hint="eastAsia" w:ascii="仿宋_GB2312" w:hAnsi="宋体" w:eastAsia="仿宋_GB2312"/>
                <w:color w:val="auto"/>
                <w:sz w:val="24"/>
              </w:rPr>
              <w:t>13、智能控制</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rPr>
                <w:rFonts w:ascii="仿宋_GB2312" w:hAnsi="宋体" w:eastAsia="仿宋_GB2312"/>
                <w:color w:val="auto"/>
                <w:sz w:val="24"/>
              </w:rPr>
            </w:pPr>
            <w:r>
              <w:rPr>
                <w:rFonts w:hint="eastAsia" w:ascii="仿宋_GB2312" w:hAnsi="宋体" w:eastAsia="仿宋_GB2312"/>
                <w:color w:val="auto"/>
                <w:sz w:val="24"/>
              </w:rPr>
              <w:t>13.1产品灯具与场景控制器等经智能网关组成独立局域网，不受外界干扰；</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rPr>
                <w:rFonts w:ascii="仿宋_GB2312" w:hAnsi="宋体" w:eastAsia="仿宋_GB2312"/>
                <w:color w:val="auto"/>
                <w:sz w:val="24"/>
              </w:rPr>
            </w:pPr>
            <w:r>
              <w:rPr>
                <w:rFonts w:hint="eastAsia" w:ascii="仿宋_GB2312" w:hAnsi="宋体" w:eastAsia="仿宋_GB2312"/>
                <w:color w:val="auto"/>
                <w:sz w:val="24"/>
              </w:rPr>
              <w:t>13.2可通过场景控制器等实现开关控制、智能控制；</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rPr>
                <w:rFonts w:ascii="仿宋_GB2312" w:hAnsi="宋体" w:eastAsia="仿宋_GB2312"/>
                <w:color w:val="auto"/>
                <w:sz w:val="24"/>
              </w:rPr>
            </w:pPr>
            <w:r>
              <w:rPr>
                <w:rFonts w:hint="eastAsia" w:ascii="仿宋_GB2312" w:hAnsi="宋体" w:eastAsia="仿宋_GB2312"/>
                <w:color w:val="auto"/>
                <w:sz w:val="24"/>
              </w:rPr>
              <w:t>13.3灯光控制采用平滑渐变调节技术，调节过程柔和舒适；</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rPr>
                <w:rFonts w:ascii="仿宋_GB2312" w:hAnsi="宋体" w:eastAsia="仿宋_GB2312"/>
                <w:color w:val="auto"/>
                <w:sz w:val="24"/>
              </w:rPr>
            </w:pPr>
            <w:r>
              <w:rPr>
                <w:rFonts w:hint="eastAsia" w:ascii="仿宋_GB2312" w:hAnsi="宋体" w:eastAsia="仿宋_GB2312"/>
                <w:color w:val="auto"/>
                <w:sz w:val="24"/>
              </w:rPr>
              <w:t>13.4根据教学场景配置≥4种默认场景模式，支持快速配置；场景快速切换，根据使用需求能够快速切换整体灯光照明状态；</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rPr>
                <w:rFonts w:ascii="仿宋_GB2312" w:hAnsi="宋体" w:eastAsia="仿宋_GB2312"/>
                <w:color w:val="auto"/>
                <w:sz w:val="24"/>
              </w:rPr>
            </w:pPr>
            <w:r>
              <w:rPr>
                <w:rFonts w:hint="eastAsia" w:ascii="仿宋_GB2312" w:hAnsi="宋体" w:eastAsia="仿宋_GB2312"/>
                <w:color w:val="auto"/>
                <w:sz w:val="24"/>
              </w:rPr>
              <w:t>13.5支持自主感应调控模式，能够根据下方桌面照度进行自动光照度调节，保持桌面照度满足在设定标准（国家标准）以上；</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bottom w:val="single" w:color="auto" w:sz="4" w:space="0"/>
            </w:tcBorders>
            <w:vAlign w:val="center"/>
          </w:tcPr>
          <w:p>
            <w:pPr>
              <w:jc w:val="center"/>
              <w:rPr>
                <w:rFonts w:ascii="仿宋_GB2312" w:eastAsia="仿宋_GB2312"/>
                <w:color w:val="auto"/>
                <w:sz w:val="24"/>
              </w:rPr>
            </w:pPr>
          </w:p>
        </w:tc>
        <w:tc>
          <w:tcPr>
            <w:tcW w:w="450" w:type="pct"/>
            <w:vMerge w:val="continue"/>
            <w:tcBorders>
              <w:bottom w:val="single" w:color="auto" w:sz="4" w:space="0"/>
            </w:tcBorders>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rPr>
                <w:rFonts w:ascii="仿宋_GB2312" w:hAnsi="宋体" w:eastAsia="仿宋_GB2312"/>
                <w:color w:val="auto"/>
                <w:sz w:val="24"/>
              </w:rPr>
            </w:pPr>
            <w:r>
              <w:rPr>
                <w:rFonts w:hint="eastAsia" w:ascii="仿宋_GB2312" w:hAnsi="宋体" w:eastAsia="仿宋_GB2312"/>
                <w:color w:val="auto"/>
                <w:sz w:val="24"/>
              </w:rPr>
              <w:t>13.6全自动模式切换功能，支持超时恢复自动运行模式，能够自动感应有无人，自动开关灯。</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bottom w:val="single" w:color="auto" w:sz="4" w:space="0"/>
            </w:tcBorders>
            <w:vAlign w:val="center"/>
          </w:tcPr>
          <w:p>
            <w:pPr>
              <w:jc w:val="center"/>
              <w:rPr>
                <w:rFonts w:ascii="仿宋_GB2312" w:eastAsia="仿宋_GB2312"/>
                <w:color w:val="auto"/>
                <w:sz w:val="24"/>
              </w:rPr>
            </w:pPr>
          </w:p>
        </w:tc>
        <w:tc>
          <w:tcPr>
            <w:tcW w:w="450" w:type="pct"/>
            <w:vMerge w:val="continue"/>
            <w:tcBorders>
              <w:bottom w:val="single" w:color="auto" w:sz="4" w:space="0"/>
            </w:tcBorders>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rPr>
                <w:rFonts w:ascii="仿宋_GB2312" w:hAnsi="宋体" w:eastAsia="仿宋_GB2312"/>
                <w:color w:val="auto"/>
                <w:sz w:val="24"/>
              </w:rPr>
            </w:pPr>
            <w:r>
              <w:rPr>
                <w:rFonts w:hint="eastAsia" w:ascii="仿宋_GB2312" w:hAnsi="宋体" w:eastAsia="仿宋_GB2312"/>
                <w:color w:val="auto"/>
                <w:sz w:val="24"/>
              </w:rPr>
              <w:t>14、整灯通过国家CCC认证</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restart"/>
            <w:tcBorders>
              <w:top w:val="single" w:color="auto" w:sz="4" w:space="0"/>
              <w:left w:val="single" w:color="auto" w:sz="12" w:space="0"/>
            </w:tcBorders>
            <w:vAlign w:val="center"/>
          </w:tcPr>
          <w:p>
            <w:pPr>
              <w:jc w:val="center"/>
              <w:rPr>
                <w:rFonts w:ascii="仿宋_GB2312" w:eastAsia="仿宋_GB2312"/>
                <w:color w:val="auto"/>
                <w:sz w:val="24"/>
              </w:rPr>
            </w:pPr>
            <w:r>
              <w:rPr>
                <w:rFonts w:hint="eastAsia" w:ascii="仿宋_GB2312" w:eastAsia="仿宋_GB2312"/>
                <w:color w:val="auto"/>
                <w:sz w:val="24"/>
              </w:rPr>
              <w:t>2</w:t>
            </w:r>
          </w:p>
        </w:tc>
        <w:tc>
          <w:tcPr>
            <w:tcW w:w="450" w:type="pct"/>
            <w:vMerge w:val="restart"/>
            <w:tcBorders>
              <w:top w:val="single" w:color="auto" w:sz="4" w:space="0"/>
            </w:tcBorders>
            <w:vAlign w:val="center"/>
          </w:tcPr>
          <w:p>
            <w:pPr>
              <w:jc w:val="center"/>
              <w:rPr>
                <w:rFonts w:ascii="仿宋_GB2312" w:eastAsia="仿宋_GB2312"/>
                <w:color w:val="auto"/>
                <w:sz w:val="24"/>
              </w:rPr>
            </w:pPr>
            <w:r>
              <w:rPr>
                <w:rFonts w:hint="eastAsia" w:ascii="仿宋_GB2312" w:eastAsia="仿宋_GB2312"/>
                <w:color w:val="auto"/>
                <w:sz w:val="24"/>
              </w:rPr>
              <w:t>智能教室黑板灯</w:t>
            </w:r>
          </w:p>
        </w:tc>
        <w:tc>
          <w:tcPr>
            <w:tcW w:w="2500" w:type="pct"/>
            <w:tcBorders>
              <w:top w:val="single" w:color="auto" w:sz="4" w:space="0"/>
              <w:bottom w:val="single" w:color="auto" w:sz="4" w:space="0"/>
            </w:tcBorders>
          </w:tcPr>
          <w:p>
            <w:pPr>
              <w:spacing w:beforeLines="50" w:afterLines="50"/>
              <w:jc w:val="left"/>
              <w:rPr>
                <w:rFonts w:ascii="仿宋_GB2312" w:hAnsi="宋体" w:eastAsia="仿宋_GB2312"/>
                <w:color w:val="auto"/>
                <w:sz w:val="24"/>
              </w:rPr>
            </w:pPr>
            <w:r>
              <w:rPr>
                <w:rFonts w:hint="eastAsia" w:ascii="仿宋_GB2312" w:hAnsi="宋体" w:eastAsia="仿宋_GB2312" w:cs="Arial"/>
                <w:color w:val="auto"/>
                <w:sz w:val="24"/>
              </w:rPr>
              <w:t>1、一体式LED防眩灯具，额定功率30-50W，建议尺寸长度≥1200mm</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2、</w:t>
            </w:r>
            <w:r>
              <w:rPr>
                <w:rFonts w:hint="eastAsia" w:ascii="仿宋_GB2312" w:hAnsi="宋体" w:eastAsia="仿宋_GB2312" w:cs="Arial"/>
                <w:color w:val="auto"/>
                <w:sz w:val="24"/>
              </w:rPr>
              <w:t>LED</w:t>
            </w:r>
            <w:r>
              <w:rPr>
                <w:rFonts w:hint="eastAsia" w:ascii="仿宋_GB2312" w:eastAsia="仿宋_GB2312" w:hAnsiTheme="minorEastAsia"/>
                <w:color w:val="auto"/>
                <w:sz w:val="24"/>
              </w:rPr>
              <w:t>黑板</w:t>
            </w:r>
            <w:r>
              <w:rPr>
                <w:rFonts w:hint="eastAsia" w:ascii="仿宋_GB2312" w:hAnsi="宋体" w:eastAsia="仿宋_GB2312" w:cs="Arial"/>
                <w:color w:val="auto"/>
                <w:sz w:val="24"/>
              </w:rPr>
              <w:t>灯色温（相关色温）满足3300-5500K</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3、</w:t>
            </w:r>
            <w:r>
              <w:rPr>
                <w:rFonts w:hint="eastAsia" w:ascii="仿宋_GB2312" w:hAnsi="宋体" w:eastAsia="仿宋_GB2312" w:cs="Arial"/>
                <w:color w:val="auto"/>
                <w:sz w:val="24"/>
              </w:rPr>
              <w:t>LED</w:t>
            </w:r>
            <w:r>
              <w:rPr>
                <w:rFonts w:hint="eastAsia" w:ascii="仿宋_GB2312" w:eastAsia="仿宋_GB2312" w:hAnsiTheme="minorEastAsia"/>
                <w:color w:val="auto"/>
                <w:sz w:val="24"/>
              </w:rPr>
              <w:t>黑板</w:t>
            </w:r>
            <w:r>
              <w:rPr>
                <w:rFonts w:hint="eastAsia" w:ascii="仿宋_GB2312" w:hAnsi="宋体" w:eastAsia="仿宋_GB2312" w:cs="Arial"/>
                <w:color w:val="auto"/>
                <w:sz w:val="24"/>
              </w:rPr>
              <w:t>灯显色指数满足Ra≥90、R9≥50</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4、</w:t>
            </w:r>
            <w:r>
              <w:rPr>
                <w:rFonts w:hint="eastAsia" w:ascii="仿宋_GB2312" w:hAnsi="宋体" w:eastAsia="仿宋_GB2312" w:cs="Arial"/>
                <w:color w:val="auto"/>
                <w:sz w:val="24"/>
              </w:rPr>
              <w:t>LED</w:t>
            </w:r>
            <w:r>
              <w:rPr>
                <w:rFonts w:hint="eastAsia" w:ascii="仿宋_GB2312" w:eastAsia="仿宋_GB2312" w:hAnsiTheme="minorEastAsia"/>
                <w:color w:val="auto"/>
                <w:sz w:val="24"/>
              </w:rPr>
              <w:t>黑板</w:t>
            </w:r>
            <w:r>
              <w:rPr>
                <w:rFonts w:hint="eastAsia" w:ascii="仿宋_GB2312" w:hAnsi="宋体" w:eastAsia="仿宋_GB2312" w:cs="Arial"/>
                <w:color w:val="auto"/>
                <w:sz w:val="24"/>
              </w:rPr>
              <w:t>灯人体电磁辐射测试满足20kHz-10MHz感应电流密度系数≤0.85</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5、</w:t>
            </w:r>
            <w:r>
              <w:rPr>
                <w:rFonts w:hint="eastAsia" w:ascii="仿宋_GB2312" w:hAnsi="宋体" w:eastAsia="仿宋_GB2312" w:cs="Arial"/>
                <w:color w:val="auto"/>
                <w:sz w:val="24"/>
              </w:rPr>
              <w:t>LED</w:t>
            </w:r>
            <w:r>
              <w:rPr>
                <w:rFonts w:hint="eastAsia" w:ascii="仿宋_GB2312" w:eastAsia="仿宋_GB2312" w:hAnsiTheme="minorEastAsia"/>
                <w:color w:val="auto"/>
                <w:sz w:val="24"/>
              </w:rPr>
              <w:t>黑板</w:t>
            </w:r>
            <w:r>
              <w:rPr>
                <w:rFonts w:hint="eastAsia" w:ascii="仿宋_GB2312" w:hAnsi="宋体" w:eastAsia="仿宋_GB2312" w:cs="Arial"/>
                <w:color w:val="auto"/>
                <w:sz w:val="24"/>
              </w:rPr>
              <w:t>灯电器电子产品认证结果符合《GB/T 26572-2011》及《GB/T 26125-2011》标准要求</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6、</w:t>
            </w:r>
            <w:r>
              <w:rPr>
                <w:rFonts w:hint="eastAsia" w:ascii="仿宋_GB2312" w:hAnsi="宋体" w:eastAsia="仿宋_GB2312" w:cs="Arial"/>
                <w:color w:val="auto"/>
                <w:sz w:val="24"/>
              </w:rPr>
              <w:t>LED</w:t>
            </w:r>
            <w:r>
              <w:rPr>
                <w:rFonts w:hint="eastAsia" w:ascii="仿宋_GB2312" w:eastAsia="仿宋_GB2312" w:hAnsiTheme="minorEastAsia"/>
                <w:color w:val="auto"/>
                <w:sz w:val="24"/>
              </w:rPr>
              <w:t>黑板</w:t>
            </w:r>
            <w:r>
              <w:rPr>
                <w:rFonts w:hint="eastAsia" w:ascii="仿宋_GB2312" w:hAnsi="宋体" w:eastAsia="仿宋_GB2312" w:cs="Arial"/>
                <w:color w:val="auto"/>
                <w:sz w:val="24"/>
              </w:rPr>
              <w:t>灯频闪质量特征认证结果为无危害频闪或无频闪危害</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7、</w:t>
            </w:r>
            <w:r>
              <w:rPr>
                <w:rFonts w:hint="eastAsia" w:ascii="仿宋_GB2312" w:hAnsi="宋体" w:eastAsia="仿宋_GB2312" w:cs="Arial"/>
                <w:color w:val="auto"/>
                <w:sz w:val="24"/>
              </w:rPr>
              <w:t>LED</w:t>
            </w:r>
            <w:r>
              <w:rPr>
                <w:rFonts w:hint="eastAsia" w:ascii="仿宋_GB2312" w:eastAsia="仿宋_GB2312" w:hAnsiTheme="minorEastAsia"/>
                <w:color w:val="auto"/>
                <w:sz w:val="24"/>
              </w:rPr>
              <w:t>黑板</w:t>
            </w:r>
            <w:r>
              <w:rPr>
                <w:rFonts w:hint="eastAsia" w:ascii="仿宋_GB2312" w:hAnsi="宋体" w:eastAsia="仿宋_GB2312" w:cs="Arial"/>
                <w:color w:val="auto"/>
                <w:sz w:val="24"/>
              </w:rPr>
              <w:t>灯蓝光危害等级为RG0（0类危险），且蓝光质量特征为低蓝光</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8、</w:t>
            </w:r>
            <w:r>
              <w:rPr>
                <w:rFonts w:hint="eastAsia" w:ascii="仿宋_GB2312" w:hAnsi="宋体" w:eastAsia="仿宋_GB2312" w:cs="Arial"/>
                <w:color w:val="auto"/>
                <w:sz w:val="24"/>
              </w:rPr>
              <w:t>LED</w:t>
            </w:r>
            <w:r>
              <w:rPr>
                <w:rFonts w:hint="eastAsia" w:ascii="仿宋_GB2312" w:eastAsia="仿宋_GB2312" w:hAnsiTheme="minorEastAsia"/>
                <w:color w:val="auto"/>
                <w:sz w:val="24"/>
              </w:rPr>
              <w:t>黑板</w:t>
            </w:r>
            <w:r>
              <w:rPr>
                <w:rFonts w:hint="eastAsia" w:ascii="仿宋_GB2312" w:hAnsi="宋体" w:eastAsia="仿宋_GB2312" w:cs="Arial"/>
                <w:color w:val="auto"/>
                <w:sz w:val="24"/>
              </w:rPr>
              <w:t>灯护眼质量特征认证结果为眼舒适</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9、</w:t>
            </w:r>
            <w:r>
              <w:rPr>
                <w:rFonts w:hint="eastAsia" w:ascii="仿宋_GB2312" w:hAnsi="宋体" w:eastAsia="仿宋_GB2312" w:cs="Arial"/>
                <w:color w:val="auto"/>
                <w:sz w:val="24"/>
              </w:rPr>
              <w:t>LED</w:t>
            </w:r>
            <w:r>
              <w:rPr>
                <w:rFonts w:hint="eastAsia" w:ascii="仿宋_GB2312" w:eastAsia="仿宋_GB2312" w:hAnsiTheme="minorEastAsia"/>
                <w:color w:val="auto"/>
                <w:sz w:val="24"/>
              </w:rPr>
              <w:t>黑板</w:t>
            </w:r>
            <w:r>
              <w:rPr>
                <w:rFonts w:hint="eastAsia" w:ascii="仿宋_GB2312" w:hAnsi="宋体" w:eastAsia="仿宋_GB2312" w:cs="Arial"/>
                <w:color w:val="auto"/>
                <w:sz w:val="24"/>
              </w:rPr>
              <w:t>灯依据《GB 7793-2010》《GB 50034-2013》《GB/T 5700-2008》《GB/T 13379-2008》及《GB 7000.1-2015》要求通过光环境认证</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10、</w:t>
            </w:r>
            <w:r>
              <w:rPr>
                <w:rFonts w:hint="eastAsia" w:ascii="仿宋_GB2312" w:hAnsi="宋体" w:eastAsia="仿宋_GB2312" w:cs="Arial"/>
                <w:color w:val="auto"/>
                <w:sz w:val="24"/>
              </w:rPr>
              <w:t>智能控制</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10.1</w:t>
            </w:r>
            <w:r>
              <w:rPr>
                <w:rFonts w:hint="eastAsia" w:ascii="仿宋_GB2312" w:hAnsi="宋体" w:eastAsia="仿宋_GB2312" w:cs="Arial"/>
                <w:color w:val="auto"/>
                <w:sz w:val="24"/>
              </w:rPr>
              <w:t>产品灯具与场景控制器等经智能网关组成独立局域网，不受外界干扰；</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10.2</w:t>
            </w:r>
            <w:r>
              <w:rPr>
                <w:rFonts w:hint="eastAsia" w:ascii="仿宋_GB2312" w:hAnsi="宋体" w:eastAsia="仿宋_GB2312" w:cs="Arial"/>
                <w:color w:val="auto"/>
                <w:sz w:val="24"/>
              </w:rPr>
              <w:t>可通过场景控制器等实现开关控制、智能控制</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10.3</w:t>
            </w:r>
            <w:r>
              <w:rPr>
                <w:rFonts w:hint="eastAsia" w:ascii="仿宋_GB2312" w:hAnsi="宋体" w:eastAsia="仿宋_GB2312" w:cs="Arial"/>
                <w:color w:val="auto"/>
                <w:sz w:val="24"/>
              </w:rPr>
              <w:t>灯光控制采用平滑渐变调节技术，调节过程柔和舒适</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10.4</w:t>
            </w:r>
            <w:r>
              <w:rPr>
                <w:rFonts w:hint="eastAsia" w:ascii="仿宋_GB2312" w:hAnsi="宋体" w:eastAsia="仿宋_GB2312" w:cs="Arial"/>
                <w:color w:val="auto"/>
                <w:sz w:val="24"/>
              </w:rPr>
              <w:t>根据教学场景配置≥4种默认场景模式，支持快速配置；场景快速切换，根据使用需求能够快速切换整体灯光照明状态</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bottom w:val="single" w:color="auto" w:sz="4" w:space="0"/>
            </w:tcBorders>
            <w:vAlign w:val="center"/>
          </w:tcPr>
          <w:p>
            <w:pPr>
              <w:jc w:val="center"/>
              <w:rPr>
                <w:rFonts w:ascii="仿宋_GB2312" w:eastAsia="仿宋_GB2312"/>
                <w:color w:val="auto"/>
                <w:sz w:val="24"/>
              </w:rPr>
            </w:pPr>
          </w:p>
        </w:tc>
        <w:tc>
          <w:tcPr>
            <w:tcW w:w="450" w:type="pct"/>
            <w:vMerge w:val="continue"/>
            <w:tcBorders>
              <w:bottom w:val="single" w:color="auto" w:sz="4" w:space="0"/>
            </w:tcBorders>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11、整灯通过国家CCC认证</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restart"/>
            <w:tcBorders>
              <w:top w:val="single" w:color="auto" w:sz="4" w:space="0"/>
              <w:left w:val="single" w:color="auto" w:sz="12" w:space="0"/>
            </w:tcBorders>
            <w:vAlign w:val="center"/>
          </w:tcPr>
          <w:p>
            <w:pPr>
              <w:jc w:val="center"/>
              <w:rPr>
                <w:rFonts w:ascii="仿宋_GB2312" w:eastAsia="仿宋_GB2312"/>
                <w:color w:val="auto"/>
                <w:sz w:val="24"/>
              </w:rPr>
            </w:pPr>
            <w:r>
              <w:rPr>
                <w:rFonts w:hint="eastAsia" w:ascii="仿宋_GB2312" w:eastAsia="仿宋_GB2312"/>
                <w:color w:val="auto"/>
                <w:sz w:val="24"/>
              </w:rPr>
              <w:t>3</w:t>
            </w:r>
          </w:p>
        </w:tc>
        <w:tc>
          <w:tcPr>
            <w:tcW w:w="450" w:type="pct"/>
            <w:vMerge w:val="restart"/>
            <w:tcBorders>
              <w:top w:val="single" w:color="auto" w:sz="4" w:space="0"/>
            </w:tcBorders>
            <w:vAlign w:val="center"/>
          </w:tcPr>
          <w:p>
            <w:pPr>
              <w:jc w:val="center"/>
              <w:rPr>
                <w:rFonts w:ascii="仿宋_GB2312" w:eastAsia="仿宋_GB2312"/>
                <w:color w:val="auto"/>
                <w:sz w:val="24"/>
              </w:rPr>
            </w:pPr>
            <w:r>
              <w:rPr>
                <w:rFonts w:hint="eastAsia" w:ascii="仿宋_GB2312" w:eastAsia="仿宋_GB2312"/>
                <w:color w:val="auto"/>
                <w:sz w:val="24"/>
              </w:rPr>
              <w:t>光环境场景控制器</w:t>
            </w:r>
          </w:p>
        </w:tc>
        <w:tc>
          <w:tcPr>
            <w:tcW w:w="2500" w:type="pct"/>
            <w:tcBorders>
              <w:top w:val="single" w:color="auto" w:sz="4" w:space="0"/>
              <w:bottom w:val="single" w:color="auto" w:sz="4" w:space="0"/>
            </w:tcBorders>
            <w:vAlign w:val="center"/>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1、</w:t>
            </w:r>
            <w:r>
              <w:rPr>
                <w:rFonts w:hint="eastAsia" w:ascii="仿宋_GB2312" w:hAnsi="宋体" w:eastAsia="仿宋_GB2312" w:cs="Arial"/>
                <w:color w:val="auto"/>
                <w:sz w:val="24"/>
              </w:rPr>
              <w:t>工作电压：220V·AC 50Hz</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vAlign w:val="center"/>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2、</w:t>
            </w:r>
            <w:r>
              <w:rPr>
                <w:rFonts w:hint="eastAsia" w:ascii="仿宋_GB2312" w:hAnsi="宋体" w:eastAsia="仿宋_GB2312" w:cs="Arial"/>
                <w:color w:val="auto"/>
                <w:sz w:val="24"/>
              </w:rPr>
              <w:t>安装方式：暗盒/明盒安装</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vAlign w:val="center"/>
          </w:tcPr>
          <w:p>
            <w:pPr>
              <w:jc w:val="left"/>
              <w:rPr>
                <w:rFonts w:ascii="仿宋_GB2312" w:hAnsi="宋体" w:eastAsia="仿宋_GB2312"/>
                <w:color w:val="auto"/>
                <w:sz w:val="24"/>
              </w:rPr>
            </w:pPr>
            <w:r>
              <w:rPr>
                <w:rFonts w:hint="eastAsia" w:ascii="仿宋_GB2312" w:hAnsi="宋体" w:eastAsia="仿宋_GB2312"/>
                <w:color w:val="auto"/>
                <w:sz w:val="24"/>
              </w:rPr>
              <w:t>3、</w:t>
            </w:r>
            <w:r>
              <w:rPr>
                <w:rFonts w:hint="eastAsia" w:ascii="仿宋_GB2312" w:hAnsi="宋体" w:eastAsia="仿宋_GB2312" w:cs="Arial"/>
                <w:color w:val="auto"/>
                <w:sz w:val="24"/>
              </w:rPr>
              <w:t>按键布局/数量：2行X3列，6按键。</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vAlign w:val="center"/>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4、</w:t>
            </w:r>
            <w:r>
              <w:rPr>
                <w:rFonts w:hint="eastAsia" w:ascii="仿宋_GB2312" w:hAnsi="宋体" w:eastAsia="仿宋_GB2312" w:cs="Arial"/>
                <w:color w:val="auto"/>
                <w:sz w:val="24"/>
              </w:rPr>
              <w:t>通讯协议</w:t>
            </w:r>
            <w:r>
              <w:rPr>
                <w:rFonts w:hint="eastAsia" w:ascii="仿宋_GB2312" w:eastAsia="仿宋_GB2312" w:hAnsiTheme="minorEastAsia"/>
                <w:color w:val="auto"/>
                <w:sz w:val="24"/>
              </w:rPr>
              <w:t>：Zigbee3.0。</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vAlign w:val="center"/>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5、</w:t>
            </w:r>
            <w:r>
              <w:rPr>
                <w:rFonts w:hint="eastAsia" w:ascii="仿宋_GB2312" w:hAnsi="宋体" w:eastAsia="仿宋_GB2312" w:cs="Arial"/>
                <w:color w:val="auto"/>
                <w:sz w:val="24"/>
              </w:rPr>
              <w:t>通讯频率：2.4GHz。</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vAlign w:val="center"/>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6、</w:t>
            </w:r>
            <w:r>
              <w:rPr>
                <w:rFonts w:hint="eastAsia" w:ascii="仿宋_GB2312" w:hAnsi="宋体" w:eastAsia="仿宋_GB2312" w:cs="Arial"/>
                <w:color w:val="auto"/>
                <w:sz w:val="24"/>
              </w:rPr>
              <w:t>最大通讯距离：30m。</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vAlign w:val="center"/>
          </w:tcPr>
          <w:p>
            <w:pPr>
              <w:jc w:val="left"/>
              <w:rPr>
                <w:rFonts w:ascii="仿宋_GB2312" w:hAnsi="宋体" w:eastAsia="仿宋_GB2312"/>
                <w:color w:val="auto"/>
                <w:sz w:val="24"/>
              </w:rPr>
            </w:pPr>
            <w:r>
              <w:rPr>
                <w:rFonts w:hint="eastAsia" w:ascii="仿宋_GB2312" w:hAnsi="宋体" w:eastAsia="仿宋_GB2312"/>
                <w:color w:val="auto"/>
                <w:sz w:val="24"/>
              </w:rPr>
              <w:t>7、</w:t>
            </w:r>
            <w:r>
              <w:rPr>
                <w:rFonts w:hint="eastAsia" w:ascii="仿宋_GB2312" w:hAnsi="宋体" w:eastAsia="仿宋_GB2312" w:cs="Arial"/>
                <w:color w:val="auto"/>
                <w:sz w:val="24"/>
              </w:rPr>
              <w:t>场景一键切换功能，默认4场景/6场景模式。</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vAlign w:val="center"/>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8、</w:t>
            </w:r>
            <w:r>
              <w:rPr>
                <w:rFonts w:hint="eastAsia" w:ascii="仿宋_GB2312" w:hAnsi="宋体" w:eastAsia="仿宋_GB2312" w:cs="Arial"/>
                <w:color w:val="auto"/>
                <w:sz w:val="24"/>
              </w:rPr>
              <w:t>Zigbee无线组网功能，能够与Zigbee智能灯具以及其他智能设备进行现场控制。</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vAlign w:val="center"/>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9、</w:t>
            </w:r>
            <w:r>
              <w:rPr>
                <w:rFonts w:hint="eastAsia" w:ascii="仿宋_GB2312" w:hAnsi="宋体" w:eastAsia="仿宋_GB2312" w:cs="Arial"/>
                <w:color w:val="auto"/>
                <w:sz w:val="24"/>
              </w:rPr>
              <w:t>动态指示灯功能，实时显示当前操作，提升交互反馈。</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88" w:type="pct"/>
            <w:vMerge w:val="continue"/>
            <w:tcBorders>
              <w:left w:val="single" w:color="auto" w:sz="12" w:space="0"/>
            </w:tcBorders>
            <w:vAlign w:val="center"/>
          </w:tcPr>
          <w:p>
            <w:pPr>
              <w:jc w:val="center"/>
              <w:rPr>
                <w:rFonts w:ascii="仿宋_GB2312" w:eastAsia="仿宋_GB2312"/>
                <w:color w:val="auto"/>
                <w:sz w:val="24"/>
              </w:rPr>
            </w:pPr>
          </w:p>
        </w:tc>
        <w:tc>
          <w:tcPr>
            <w:tcW w:w="450" w:type="pct"/>
            <w:vMerge w:val="continue"/>
            <w:vAlign w:val="center"/>
          </w:tcPr>
          <w:p>
            <w:pPr>
              <w:jc w:val="center"/>
              <w:rPr>
                <w:rFonts w:ascii="仿宋_GB2312" w:eastAsia="仿宋_GB2312"/>
                <w:color w:val="auto"/>
                <w:sz w:val="24"/>
              </w:rPr>
            </w:pPr>
          </w:p>
        </w:tc>
        <w:tc>
          <w:tcPr>
            <w:tcW w:w="2500" w:type="pct"/>
            <w:tcBorders>
              <w:top w:val="single" w:color="auto" w:sz="4" w:space="0"/>
              <w:bottom w:val="single" w:color="auto" w:sz="4" w:space="0"/>
            </w:tcBorders>
            <w:vAlign w:val="center"/>
          </w:tcPr>
          <w:p>
            <w:pPr>
              <w:spacing w:beforeLines="50" w:afterLines="50"/>
              <w:jc w:val="left"/>
              <w:rPr>
                <w:rFonts w:ascii="仿宋_GB2312" w:hAnsi="宋体" w:eastAsia="仿宋_GB2312"/>
                <w:color w:val="auto"/>
                <w:sz w:val="24"/>
              </w:rPr>
            </w:pPr>
            <w:r>
              <w:rPr>
                <w:rFonts w:hint="eastAsia" w:ascii="仿宋_GB2312" w:hAnsi="宋体" w:eastAsia="仿宋_GB2312"/>
                <w:color w:val="auto"/>
                <w:sz w:val="24"/>
              </w:rPr>
              <w:t>10、</w:t>
            </w:r>
            <w:r>
              <w:rPr>
                <w:rFonts w:hint="eastAsia" w:ascii="仿宋_GB2312" w:hAnsi="宋体" w:eastAsia="仿宋_GB2312" w:cs="Arial"/>
                <w:color w:val="auto"/>
                <w:sz w:val="24"/>
              </w:rPr>
              <w:t>智能窗帘控制功能。</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88" w:type="pct"/>
            <w:vMerge w:val="restart"/>
            <w:tcBorders>
              <w:left w:val="single" w:color="auto" w:sz="12" w:space="0"/>
            </w:tcBorders>
            <w:vAlign w:val="center"/>
          </w:tcPr>
          <w:p>
            <w:pPr>
              <w:jc w:val="center"/>
              <w:rPr>
                <w:rFonts w:ascii="仿宋_GB2312" w:eastAsia="仿宋_GB2312"/>
                <w:color w:val="auto"/>
                <w:sz w:val="24"/>
              </w:rPr>
            </w:pPr>
            <w:r>
              <w:rPr>
                <w:rFonts w:hint="eastAsia" w:ascii="仿宋_GB2312" w:eastAsia="仿宋_GB2312"/>
                <w:color w:val="auto"/>
                <w:sz w:val="24"/>
              </w:rPr>
              <w:t>4</w:t>
            </w:r>
          </w:p>
        </w:tc>
        <w:tc>
          <w:tcPr>
            <w:tcW w:w="450" w:type="pct"/>
            <w:vMerge w:val="restart"/>
            <w:vAlign w:val="center"/>
          </w:tcPr>
          <w:p>
            <w:pPr>
              <w:jc w:val="center"/>
              <w:rPr>
                <w:rFonts w:ascii="仿宋_GB2312" w:eastAsia="仿宋_GB2312"/>
                <w:color w:val="auto"/>
                <w:sz w:val="24"/>
              </w:rPr>
            </w:pPr>
            <w:r>
              <w:rPr>
                <w:rFonts w:hint="eastAsia" w:ascii="仿宋_GB2312" w:eastAsia="仿宋_GB2312"/>
                <w:color w:val="auto"/>
                <w:sz w:val="24"/>
              </w:rPr>
              <w:t>蓝牙耳麦</w:t>
            </w:r>
          </w:p>
        </w:tc>
        <w:tc>
          <w:tcPr>
            <w:tcW w:w="2500" w:type="pct"/>
            <w:tcBorders>
              <w:top w:val="single" w:color="auto" w:sz="4" w:space="0"/>
              <w:bottom w:val="single" w:color="auto" w:sz="4" w:space="0"/>
            </w:tcBorders>
            <w:vAlign w:val="center"/>
          </w:tcPr>
          <w:p>
            <w:pPr>
              <w:spacing w:beforeLines="50" w:afterLines="50"/>
              <w:jc w:val="left"/>
              <w:rPr>
                <w:rFonts w:hint="eastAsia" w:ascii="仿宋_GB2312" w:hAnsi="宋体" w:eastAsia="仿宋_GB2312"/>
                <w:color w:val="auto"/>
                <w:sz w:val="24"/>
              </w:rPr>
            </w:pPr>
            <w:r>
              <w:rPr>
                <w:rFonts w:hint="eastAsia" w:ascii="仿宋_GB2312" w:hAnsi="宋体" w:eastAsia="仿宋_GB2312"/>
                <w:color w:val="auto"/>
                <w:sz w:val="24"/>
              </w:rPr>
              <w:t>1、可自动配对，即插即用。</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88" w:type="pct"/>
            <w:vMerge w:val="continue"/>
            <w:tcBorders>
              <w:left w:val="single" w:color="auto" w:sz="12" w:space="0"/>
            </w:tcBorders>
            <w:vAlign w:val="center"/>
          </w:tcPr>
          <w:p>
            <w:pPr>
              <w:jc w:val="center"/>
              <w:rPr>
                <w:rFonts w:hint="eastAsia" w:ascii="仿宋_GB2312" w:eastAsia="仿宋_GB2312"/>
                <w:color w:val="auto"/>
                <w:sz w:val="24"/>
              </w:rPr>
            </w:pPr>
          </w:p>
        </w:tc>
        <w:tc>
          <w:tcPr>
            <w:tcW w:w="450" w:type="pct"/>
            <w:vMerge w:val="continue"/>
            <w:vAlign w:val="center"/>
          </w:tcPr>
          <w:p>
            <w:pPr>
              <w:jc w:val="center"/>
              <w:rPr>
                <w:rFonts w:hint="eastAsia" w:ascii="仿宋_GB2312" w:eastAsia="仿宋_GB2312"/>
                <w:color w:val="auto"/>
                <w:sz w:val="24"/>
              </w:rPr>
            </w:pPr>
          </w:p>
        </w:tc>
        <w:tc>
          <w:tcPr>
            <w:tcW w:w="2500" w:type="pct"/>
            <w:tcBorders>
              <w:top w:val="single" w:color="auto" w:sz="4" w:space="0"/>
              <w:bottom w:val="single" w:color="auto" w:sz="4" w:space="0"/>
            </w:tcBorders>
            <w:vAlign w:val="center"/>
          </w:tcPr>
          <w:p>
            <w:pPr>
              <w:spacing w:beforeLines="50" w:afterLines="50"/>
              <w:jc w:val="left"/>
              <w:rPr>
                <w:rFonts w:hint="eastAsia" w:ascii="仿宋_GB2312" w:hAnsi="宋体" w:eastAsia="仿宋_GB2312"/>
                <w:color w:val="auto"/>
                <w:sz w:val="24"/>
              </w:rPr>
            </w:pPr>
            <w:r>
              <w:rPr>
                <w:rFonts w:hint="eastAsia" w:ascii="仿宋_GB2312" w:hAnsi="宋体" w:eastAsia="仿宋_GB2312"/>
                <w:color w:val="auto"/>
                <w:sz w:val="24"/>
              </w:rPr>
              <w:t>2、可兼容多种扩音设备。</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88" w:type="pct"/>
            <w:vMerge w:val="continue"/>
            <w:tcBorders>
              <w:left w:val="single" w:color="auto" w:sz="12" w:space="0"/>
            </w:tcBorders>
            <w:vAlign w:val="center"/>
          </w:tcPr>
          <w:p>
            <w:pPr>
              <w:jc w:val="center"/>
              <w:rPr>
                <w:rFonts w:hint="eastAsia" w:ascii="仿宋_GB2312" w:eastAsia="仿宋_GB2312"/>
                <w:color w:val="auto"/>
                <w:sz w:val="24"/>
              </w:rPr>
            </w:pPr>
          </w:p>
        </w:tc>
        <w:tc>
          <w:tcPr>
            <w:tcW w:w="450" w:type="pct"/>
            <w:vMerge w:val="continue"/>
            <w:vAlign w:val="center"/>
          </w:tcPr>
          <w:p>
            <w:pPr>
              <w:jc w:val="center"/>
              <w:rPr>
                <w:rFonts w:hint="eastAsia" w:ascii="仿宋_GB2312" w:eastAsia="仿宋_GB2312"/>
                <w:color w:val="auto"/>
                <w:sz w:val="24"/>
              </w:rPr>
            </w:pPr>
          </w:p>
        </w:tc>
        <w:tc>
          <w:tcPr>
            <w:tcW w:w="2500" w:type="pct"/>
            <w:tcBorders>
              <w:top w:val="single" w:color="auto" w:sz="4" w:space="0"/>
              <w:bottom w:val="single" w:color="auto" w:sz="4" w:space="0"/>
            </w:tcBorders>
            <w:vAlign w:val="center"/>
          </w:tcPr>
          <w:p>
            <w:pPr>
              <w:spacing w:beforeLines="50" w:afterLines="50"/>
              <w:jc w:val="left"/>
              <w:rPr>
                <w:rFonts w:hint="eastAsia" w:ascii="仿宋_GB2312" w:hAnsi="宋体" w:eastAsia="仿宋_GB2312"/>
                <w:color w:val="auto"/>
                <w:sz w:val="24"/>
              </w:rPr>
            </w:pPr>
            <w:r>
              <w:rPr>
                <w:rFonts w:hint="eastAsia" w:ascii="仿宋_GB2312" w:hAnsi="宋体" w:eastAsia="仿宋_GB2312"/>
                <w:color w:val="auto"/>
                <w:sz w:val="24"/>
              </w:rPr>
              <w:t>3、无线传输距离≥25米，信号稳定。</w:t>
            </w:r>
          </w:p>
        </w:tc>
        <w:tc>
          <w:tcPr>
            <w:tcW w:w="701" w:type="pct"/>
            <w:tcBorders>
              <w:top w:val="single" w:color="auto" w:sz="4" w:space="0"/>
              <w:bottom w:val="single" w:color="auto" w:sz="4"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4"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4"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88" w:type="pct"/>
            <w:vMerge w:val="continue"/>
            <w:tcBorders>
              <w:left w:val="single" w:color="auto" w:sz="12" w:space="0"/>
              <w:bottom w:val="single" w:color="auto" w:sz="12" w:space="0"/>
            </w:tcBorders>
            <w:vAlign w:val="center"/>
          </w:tcPr>
          <w:p>
            <w:pPr>
              <w:jc w:val="center"/>
              <w:rPr>
                <w:rFonts w:hint="eastAsia" w:ascii="仿宋_GB2312" w:eastAsia="仿宋_GB2312"/>
                <w:color w:val="auto"/>
                <w:sz w:val="24"/>
              </w:rPr>
            </w:pPr>
          </w:p>
        </w:tc>
        <w:tc>
          <w:tcPr>
            <w:tcW w:w="450" w:type="pct"/>
            <w:vMerge w:val="continue"/>
            <w:tcBorders>
              <w:bottom w:val="single" w:color="auto" w:sz="12" w:space="0"/>
            </w:tcBorders>
            <w:vAlign w:val="center"/>
          </w:tcPr>
          <w:p>
            <w:pPr>
              <w:jc w:val="center"/>
              <w:rPr>
                <w:rFonts w:hint="eastAsia" w:ascii="仿宋_GB2312" w:eastAsia="仿宋_GB2312"/>
                <w:color w:val="auto"/>
                <w:sz w:val="24"/>
              </w:rPr>
            </w:pPr>
          </w:p>
        </w:tc>
        <w:tc>
          <w:tcPr>
            <w:tcW w:w="2500" w:type="pct"/>
            <w:tcBorders>
              <w:top w:val="single" w:color="auto" w:sz="4" w:space="0"/>
              <w:bottom w:val="single" w:color="auto" w:sz="12" w:space="0"/>
            </w:tcBorders>
            <w:vAlign w:val="center"/>
          </w:tcPr>
          <w:p>
            <w:pPr>
              <w:spacing w:beforeLines="50" w:afterLines="50"/>
              <w:jc w:val="left"/>
              <w:rPr>
                <w:rFonts w:hint="eastAsia" w:ascii="仿宋_GB2312" w:hAnsi="宋体" w:eastAsia="仿宋_GB2312"/>
                <w:color w:val="auto"/>
                <w:sz w:val="24"/>
              </w:rPr>
            </w:pPr>
            <w:r>
              <w:rPr>
                <w:rFonts w:hint="eastAsia" w:ascii="仿宋_GB2312" w:hAnsi="宋体" w:eastAsia="仿宋_GB2312"/>
                <w:color w:val="auto"/>
                <w:sz w:val="24"/>
              </w:rPr>
              <w:t>4、可头戴、可手持。</w:t>
            </w:r>
          </w:p>
        </w:tc>
        <w:tc>
          <w:tcPr>
            <w:tcW w:w="701" w:type="pct"/>
            <w:tcBorders>
              <w:top w:val="single" w:color="auto" w:sz="4" w:space="0"/>
              <w:bottom w:val="single" w:color="auto" w:sz="12" w:space="0"/>
            </w:tcBorders>
          </w:tcPr>
          <w:p>
            <w:pPr>
              <w:spacing w:beforeLines="50" w:afterLines="50"/>
              <w:jc w:val="center"/>
              <w:rPr>
                <w:rFonts w:ascii="仿宋_GB2312" w:hAnsi="宋体" w:eastAsia="仿宋_GB2312"/>
                <w:color w:val="auto"/>
                <w:sz w:val="24"/>
              </w:rPr>
            </w:pPr>
          </w:p>
        </w:tc>
        <w:tc>
          <w:tcPr>
            <w:tcW w:w="450" w:type="pct"/>
            <w:tcBorders>
              <w:top w:val="single" w:color="auto" w:sz="4" w:space="0"/>
              <w:bottom w:val="single" w:color="auto" w:sz="12" w:space="0"/>
            </w:tcBorders>
            <w:vAlign w:val="center"/>
          </w:tcPr>
          <w:p>
            <w:pPr>
              <w:spacing w:beforeLines="50" w:afterLines="50"/>
              <w:jc w:val="center"/>
              <w:rPr>
                <w:rFonts w:ascii="仿宋_GB2312" w:hAnsi="宋体" w:eastAsia="仿宋_GB2312"/>
                <w:color w:val="auto"/>
                <w:sz w:val="24"/>
              </w:rPr>
            </w:pPr>
          </w:p>
        </w:tc>
        <w:tc>
          <w:tcPr>
            <w:tcW w:w="611" w:type="pct"/>
            <w:tcBorders>
              <w:top w:val="single" w:color="auto" w:sz="4" w:space="0"/>
              <w:bottom w:val="single" w:color="auto" w:sz="12" w:space="0"/>
              <w:right w:val="single" w:color="auto" w:sz="12" w:space="0"/>
            </w:tcBorders>
            <w:vAlign w:val="center"/>
          </w:tcPr>
          <w:p>
            <w:pPr>
              <w:spacing w:beforeLines="50" w:afterLines="50"/>
              <w:jc w:val="center"/>
              <w:rPr>
                <w:rFonts w:ascii="仿宋_GB2312" w:hAnsi="宋体" w:eastAsia="仿宋_GB2312"/>
                <w:color w:val="auto"/>
                <w:sz w:val="24"/>
              </w:rPr>
            </w:pPr>
          </w:p>
        </w:tc>
      </w:tr>
    </w:tbl>
    <w:p>
      <w:pPr>
        <w:snapToGrid w:val="0"/>
        <w:spacing w:line="640" w:lineRule="exact"/>
        <w:rPr>
          <w:rFonts w:ascii="仿宋_GB2312" w:hAnsi="宋体" w:eastAsia="仿宋_GB2312" w:cs="宋体"/>
          <w:color w:val="auto"/>
          <w:sz w:val="28"/>
          <w:szCs w:val="28"/>
        </w:rPr>
      </w:pPr>
      <w:r>
        <w:rPr>
          <w:rFonts w:hint="eastAsia" w:ascii="仿宋_GB2312" w:hAnsi="宋体" w:eastAsia="仿宋_GB2312" w:cs="宋体"/>
          <w:color w:val="auto"/>
          <w:sz w:val="28"/>
          <w:szCs w:val="28"/>
        </w:rPr>
        <w:t>注：偏离情况填写“正偏离”或“负偏离”或“无偏离”；</w:t>
      </w:r>
    </w:p>
    <w:p>
      <w:pPr>
        <w:snapToGrid w:val="0"/>
        <w:spacing w:line="640" w:lineRule="exact"/>
        <w:rPr>
          <w:color w:val="auto"/>
        </w:rPr>
      </w:pPr>
      <w:r>
        <w:rPr>
          <w:rFonts w:hint="eastAsia" w:ascii="仿宋_GB2312" w:hAnsi="宋体" w:eastAsia="仿宋_GB2312" w:cs="宋体"/>
          <w:color w:val="auto"/>
          <w:sz w:val="28"/>
          <w:szCs w:val="28"/>
        </w:rPr>
        <w:t xml:space="preserve">   </w:t>
      </w:r>
    </w:p>
    <w:p>
      <w:pPr>
        <w:snapToGrid w:val="0"/>
        <w:spacing w:line="640" w:lineRule="exact"/>
        <w:ind w:firstLine="560" w:firstLineChars="200"/>
        <w:rPr>
          <w:rFonts w:ascii="仿宋_GB2312" w:hAnsi="宋体" w:eastAsia="仿宋_GB2312" w:cs="宋体"/>
          <w:color w:val="auto"/>
          <w:sz w:val="28"/>
          <w:szCs w:val="28"/>
        </w:rPr>
      </w:pPr>
      <w:r>
        <w:rPr>
          <w:rFonts w:hint="eastAsia" w:ascii="仿宋_GB2312" w:hAnsi="宋体" w:eastAsia="仿宋_GB2312" w:cs="宋体"/>
          <w:color w:val="auto"/>
          <w:sz w:val="28"/>
          <w:szCs w:val="28"/>
        </w:rPr>
        <w:t>投标人（全称）：</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（公章）</w:t>
      </w:r>
    </w:p>
    <w:p>
      <w:pPr>
        <w:snapToGrid w:val="0"/>
        <w:spacing w:line="640" w:lineRule="exact"/>
        <w:ind w:firstLine="560" w:firstLineChars="200"/>
        <w:rPr>
          <w:rFonts w:ascii="仿宋_GB2312" w:hAnsi="宋体" w:eastAsia="仿宋_GB2312" w:cs="宋体"/>
          <w:color w:val="auto"/>
          <w:sz w:val="28"/>
          <w:szCs w:val="28"/>
        </w:rPr>
      </w:pPr>
      <w:r>
        <w:rPr>
          <w:rFonts w:hint="eastAsia" w:ascii="仿宋_GB2312" w:hAnsi="宋体" w:eastAsia="仿宋_GB2312" w:cs="宋体"/>
          <w:color w:val="auto"/>
          <w:sz w:val="28"/>
          <w:szCs w:val="28"/>
        </w:rPr>
        <w:t xml:space="preserve">法定代表人或其授权委托人：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（签字或盖章）</w:t>
      </w:r>
    </w:p>
    <w:p>
      <w:pPr>
        <w:snapToGrid w:val="0"/>
        <w:spacing w:line="640" w:lineRule="exact"/>
        <w:ind w:firstLine="560" w:firstLineChars="200"/>
        <w:rPr>
          <w:rFonts w:ascii="仿宋_GB2312" w:hAnsi="宋体" w:eastAsia="仿宋_GB2312"/>
          <w:color w:val="auto"/>
          <w:sz w:val="28"/>
          <w:szCs w:val="28"/>
        </w:rPr>
      </w:pPr>
      <w:r>
        <w:rPr>
          <w:rFonts w:hint="eastAsia" w:ascii="仿宋_GB2312" w:eastAsia="仿宋_GB2312"/>
          <w:color w:val="auto"/>
          <w:sz w:val="28"/>
          <w:szCs w:val="28"/>
        </w:rPr>
        <w:t>日      期：</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年</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月</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日</w:t>
      </w:r>
    </w:p>
    <w:p>
      <w:pPr>
        <w:pStyle w:val="16"/>
        <w:spacing w:beforeLines="100" w:afterLines="100" w:line="360" w:lineRule="auto"/>
        <w:jc w:val="center"/>
        <w:rPr>
          <w:rFonts w:ascii="黑体" w:hAnsi="宋体" w:eastAsia="黑体"/>
          <w:color w:val="auto"/>
          <w:sz w:val="36"/>
          <w:szCs w:val="36"/>
        </w:rPr>
        <w:sectPr>
          <w:pgSz w:w="16838" w:h="11906" w:orient="landscape"/>
          <w:pgMar w:top="1077" w:right="1440" w:bottom="1077" w:left="1440" w:header="851" w:footer="992" w:gutter="0"/>
          <w:cols w:space="425" w:num="1"/>
          <w:docGrid w:linePitch="312" w:charSpace="0"/>
        </w:sectPr>
      </w:pPr>
    </w:p>
    <w:p>
      <w:pPr>
        <w:pStyle w:val="16"/>
        <w:spacing w:beforeLines="100" w:afterLines="100" w:line="360" w:lineRule="auto"/>
        <w:jc w:val="center"/>
        <w:rPr>
          <w:rFonts w:ascii="黑体" w:hAnsi="宋体" w:eastAsia="黑体"/>
          <w:color w:val="auto"/>
          <w:sz w:val="36"/>
          <w:szCs w:val="36"/>
        </w:rPr>
      </w:pPr>
      <w:r>
        <w:rPr>
          <w:rFonts w:hint="eastAsia" w:ascii="黑体" w:hAnsi="宋体" w:eastAsia="黑体"/>
          <w:color w:val="auto"/>
          <w:sz w:val="36"/>
          <w:szCs w:val="36"/>
        </w:rPr>
        <w:t>2、质量保证</w:t>
      </w:r>
    </w:p>
    <w:p>
      <w:pPr>
        <w:spacing w:line="360" w:lineRule="auto"/>
        <w:rPr>
          <w:rFonts w:ascii="仿宋_GB2312" w:hAnsi="楷体" w:eastAsia="仿宋_GB2312"/>
          <w:color w:val="auto"/>
          <w:sz w:val="28"/>
          <w:szCs w:val="28"/>
        </w:rPr>
      </w:pPr>
      <w:r>
        <w:rPr>
          <w:rFonts w:hint="eastAsia" w:ascii="仿宋_GB2312" w:hAnsi="楷体" w:eastAsia="仿宋_GB2312"/>
          <w:color w:val="auto"/>
          <w:sz w:val="28"/>
          <w:szCs w:val="28"/>
        </w:rPr>
        <w:t>说明：</w:t>
      </w:r>
    </w:p>
    <w:p>
      <w:pPr>
        <w:spacing w:line="360" w:lineRule="auto"/>
        <w:ind w:firstLine="560" w:firstLineChars="200"/>
        <w:rPr>
          <w:rFonts w:ascii="仿宋_GB2312" w:hAnsi="楷体" w:eastAsia="仿宋_GB2312"/>
          <w:color w:val="auto"/>
          <w:sz w:val="28"/>
          <w:szCs w:val="28"/>
        </w:rPr>
      </w:pPr>
      <w:r>
        <w:rPr>
          <w:rFonts w:hint="eastAsia" w:ascii="仿宋_GB2312" w:hAnsi="楷体" w:eastAsia="仿宋_GB2312"/>
          <w:color w:val="auto"/>
          <w:sz w:val="28"/>
          <w:szCs w:val="28"/>
        </w:rPr>
        <w:t>格式及内容由投标人自拟。应当包括（但不限于）招标文件第三章评标办法中“质量保证”评审项中的相关内容。</w:t>
      </w:r>
    </w:p>
    <w:p>
      <w:pPr>
        <w:spacing w:line="360" w:lineRule="auto"/>
        <w:ind w:firstLine="560" w:firstLineChars="200"/>
        <w:rPr>
          <w:rFonts w:ascii="仿宋_GB2312" w:hAnsi="楷体" w:eastAsia="仿宋_GB2312"/>
          <w:color w:val="auto"/>
          <w:sz w:val="28"/>
          <w:szCs w:val="28"/>
        </w:rPr>
      </w:pPr>
      <w:r>
        <w:rPr>
          <w:rFonts w:hint="eastAsia" w:ascii="仿宋_GB2312" w:hAnsi="楷体" w:eastAsia="仿宋_GB2312"/>
          <w:color w:val="auto"/>
          <w:sz w:val="28"/>
          <w:szCs w:val="28"/>
        </w:rPr>
        <w:t>所供产品若需要证明材料以证明货物技术参数及配置符合招标要求和具有质量保证的，请将证明材料复印件加盖供应商公章作为本节附件。</w:t>
      </w:r>
    </w:p>
    <w:p>
      <w:pPr>
        <w:pStyle w:val="2"/>
        <w:rPr>
          <w:color w:val="auto"/>
        </w:rPr>
      </w:pPr>
    </w:p>
    <w:p>
      <w:pPr>
        <w:pStyle w:val="16"/>
        <w:spacing w:beforeLines="100" w:afterLines="100" w:line="360" w:lineRule="auto"/>
        <w:jc w:val="center"/>
        <w:rPr>
          <w:rFonts w:ascii="黑体" w:hAnsi="宋体" w:eastAsia="黑体"/>
          <w:color w:val="auto"/>
          <w:sz w:val="36"/>
          <w:szCs w:val="36"/>
        </w:rPr>
      </w:pPr>
      <w:r>
        <w:rPr>
          <w:rFonts w:hint="eastAsia" w:ascii="黑体" w:hAnsi="宋体" w:eastAsia="黑体"/>
          <w:color w:val="auto"/>
          <w:sz w:val="36"/>
          <w:szCs w:val="36"/>
        </w:rPr>
        <w:t>3、核心产品制造商管理体系认证</w:t>
      </w:r>
    </w:p>
    <w:p>
      <w:pPr>
        <w:adjustRightInd w:val="0"/>
        <w:snapToGrid w:val="0"/>
        <w:spacing w:line="360" w:lineRule="auto"/>
        <w:ind w:firstLine="525" w:firstLineChars="250"/>
        <w:rPr>
          <w:rFonts w:ascii="仿宋_GB2312" w:hAnsi="宋体" w:eastAsia="仿宋_GB2312"/>
          <w:bCs/>
          <w:color w:val="auto"/>
          <w:szCs w:val="21"/>
        </w:rPr>
      </w:pPr>
    </w:p>
    <w:p>
      <w:pPr>
        <w:spacing w:beforeLines="100" w:line="360" w:lineRule="auto"/>
        <w:rPr>
          <w:rFonts w:ascii="仿宋_GB2312" w:hAnsi="宋体" w:eastAsia="仿宋_GB2312"/>
          <w:color w:val="auto"/>
          <w:sz w:val="28"/>
          <w:szCs w:val="28"/>
        </w:rPr>
      </w:pPr>
      <w:r>
        <w:rPr>
          <w:rFonts w:hint="eastAsia" w:ascii="仿宋_GB2312" w:hAnsi="宋体" w:eastAsia="仿宋_GB2312"/>
          <w:color w:val="auto"/>
          <w:sz w:val="28"/>
          <w:szCs w:val="28"/>
        </w:rPr>
        <w:t>说明：</w:t>
      </w:r>
    </w:p>
    <w:p>
      <w:pPr>
        <w:spacing w:line="360" w:lineRule="auto"/>
        <w:ind w:firstLine="420" w:firstLineChars="150"/>
        <w:rPr>
          <w:rFonts w:ascii="仿宋_GB2312" w:hAnsi="宋体" w:eastAsia="仿宋_GB2312"/>
          <w:color w:val="auto"/>
          <w:sz w:val="28"/>
          <w:szCs w:val="28"/>
        </w:rPr>
      </w:pPr>
      <w:r>
        <w:rPr>
          <w:rFonts w:hint="eastAsia" w:ascii="仿宋_GB2312" w:hAnsi="宋体" w:eastAsia="仿宋_GB2312"/>
          <w:color w:val="auto"/>
          <w:sz w:val="28"/>
          <w:szCs w:val="28"/>
        </w:rPr>
        <w:t>1.提供本项目核心产品</w:t>
      </w:r>
      <w:r>
        <w:rPr>
          <w:rFonts w:hint="eastAsia" w:ascii="仿宋_GB2312" w:hAnsi="宋体" w:eastAsia="仿宋_GB2312"/>
          <w:color w:val="auto"/>
          <w:sz w:val="28"/>
          <w:szCs w:val="28"/>
          <w:u w:val="single"/>
        </w:rPr>
        <w:t xml:space="preserve">  智能LED教室灯  </w:t>
      </w:r>
      <w:r>
        <w:rPr>
          <w:rFonts w:hint="eastAsia" w:ascii="仿宋_GB2312" w:hAnsi="宋体" w:eastAsia="仿宋_GB2312"/>
          <w:color w:val="auto"/>
          <w:sz w:val="28"/>
          <w:szCs w:val="28"/>
        </w:rPr>
        <w:t>的制造商所获有效的管理体系（指质量管理体系、环境管理体系）认证证书复印件，并加盖公章；</w:t>
      </w:r>
    </w:p>
    <w:p>
      <w:pPr>
        <w:spacing w:line="360" w:lineRule="auto"/>
        <w:ind w:left="420"/>
        <w:rPr>
          <w:rFonts w:ascii="仿宋_GB2312" w:hAnsi="宋体" w:eastAsia="仿宋_GB2312"/>
          <w:color w:val="auto"/>
          <w:sz w:val="28"/>
          <w:szCs w:val="28"/>
        </w:rPr>
      </w:pPr>
      <w:r>
        <w:rPr>
          <w:rFonts w:hint="eastAsia" w:ascii="仿宋_GB2312" w:hAnsi="宋体" w:eastAsia="仿宋_GB2312"/>
          <w:color w:val="auto"/>
          <w:sz w:val="28"/>
          <w:szCs w:val="28"/>
        </w:rPr>
        <w:t>2.未提供加盖投标人公章认证证书复印件的，评审时该项认证得0分；</w:t>
      </w:r>
    </w:p>
    <w:p>
      <w:pPr>
        <w:spacing w:line="360" w:lineRule="auto"/>
        <w:ind w:left="420"/>
        <w:rPr>
          <w:rFonts w:ascii="仿宋_GB2312" w:hAnsi="宋体" w:eastAsia="仿宋_GB2312"/>
          <w:color w:val="auto"/>
          <w:sz w:val="28"/>
          <w:szCs w:val="28"/>
        </w:rPr>
      </w:pPr>
      <w:r>
        <w:rPr>
          <w:rFonts w:hint="eastAsia" w:ascii="仿宋_GB2312" w:hAnsi="宋体" w:eastAsia="仿宋_GB2312"/>
          <w:color w:val="auto"/>
          <w:sz w:val="28"/>
          <w:szCs w:val="28"/>
        </w:rPr>
        <w:t>3.无效或过期的认证证书，评审时该项认证得0分。</w:t>
      </w:r>
    </w:p>
    <w:p>
      <w:pPr>
        <w:pStyle w:val="16"/>
        <w:spacing w:beforeLines="100" w:afterLines="100" w:line="360" w:lineRule="auto"/>
        <w:jc w:val="center"/>
        <w:rPr>
          <w:rFonts w:ascii="黑体" w:hAnsi="宋体" w:eastAsia="黑体"/>
          <w:color w:val="auto"/>
          <w:sz w:val="36"/>
          <w:szCs w:val="36"/>
        </w:rPr>
      </w:pPr>
      <w:r>
        <w:rPr>
          <w:rFonts w:hint="eastAsia" w:ascii="黑体" w:hAnsi="宋体" w:eastAsia="黑体"/>
          <w:color w:val="auto"/>
          <w:sz w:val="36"/>
          <w:szCs w:val="36"/>
        </w:rPr>
        <w:t>4、实施方案</w:t>
      </w:r>
    </w:p>
    <w:p>
      <w:pPr>
        <w:spacing w:line="360" w:lineRule="auto"/>
        <w:rPr>
          <w:rFonts w:ascii="仿宋_GB2312" w:hAnsi="楷体" w:eastAsia="仿宋_GB2312"/>
          <w:color w:val="auto"/>
          <w:sz w:val="28"/>
          <w:szCs w:val="28"/>
        </w:rPr>
      </w:pPr>
      <w:r>
        <w:rPr>
          <w:rFonts w:hint="eastAsia" w:ascii="仿宋_GB2312" w:hAnsi="楷体" w:eastAsia="仿宋_GB2312"/>
          <w:color w:val="auto"/>
          <w:sz w:val="28"/>
          <w:szCs w:val="28"/>
        </w:rPr>
        <w:t>说明：</w:t>
      </w:r>
    </w:p>
    <w:p>
      <w:pPr>
        <w:spacing w:line="360" w:lineRule="auto"/>
        <w:rPr>
          <w:rFonts w:ascii="仿宋_GB2312" w:hAnsi="楷体" w:eastAsia="仿宋_GB2312"/>
          <w:color w:val="auto"/>
          <w:sz w:val="28"/>
          <w:szCs w:val="28"/>
        </w:rPr>
      </w:pPr>
      <w:r>
        <w:rPr>
          <w:rFonts w:hint="eastAsia" w:ascii="仿宋_GB2312" w:hAnsi="楷体" w:eastAsia="仿宋_GB2312"/>
          <w:color w:val="auto"/>
          <w:sz w:val="28"/>
          <w:szCs w:val="28"/>
        </w:rPr>
        <w:t xml:space="preserve">    格式及内容由投标人自拟，包含但不限于：货源组织方案、交货验收方案、货物安装现场仓储保管方案、安装和调试方案、进度计划、交货期保证措施、安全保证措施、人员安排情况、技术培训、应急预案、疫情防控措施等。</w:t>
      </w:r>
    </w:p>
    <w:p>
      <w:pPr>
        <w:pStyle w:val="2"/>
        <w:rPr>
          <w:color w:val="auto"/>
        </w:rPr>
      </w:pPr>
    </w:p>
    <w:p>
      <w:pPr>
        <w:pStyle w:val="2"/>
        <w:rPr>
          <w:color w:val="auto"/>
        </w:rPr>
      </w:pPr>
    </w:p>
    <w:p>
      <w:pPr>
        <w:rPr>
          <w:color w:val="auto"/>
        </w:rPr>
      </w:pPr>
    </w:p>
    <w:p>
      <w:pPr>
        <w:pStyle w:val="2"/>
        <w:rPr>
          <w:color w:val="auto"/>
        </w:rPr>
      </w:pPr>
    </w:p>
    <w:p>
      <w:pPr>
        <w:rPr>
          <w:color w:val="auto"/>
        </w:rPr>
      </w:pPr>
    </w:p>
    <w:p>
      <w:pPr>
        <w:pStyle w:val="16"/>
        <w:spacing w:beforeLines="100" w:afterLines="100" w:line="360" w:lineRule="auto"/>
        <w:jc w:val="center"/>
        <w:rPr>
          <w:rFonts w:ascii="黑体" w:hAnsi="宋体" w:eastAsia="黑体"/>
          <w:color w:val="auto"/>
          <w:sz w:val="36"/>
          <w:szCs w:val="36"/>
        </w:rPr>
      </w:pPr>
      <w:r>
        <w:rPr>
          <w:rFonts w:hint="eastAsia" w:ascii="黑体" w:hAnsi="宋体" w:eastAsia="黑体"/>
          <w:color w:val="auto"/>
          <w:sz w:val="36"/>
          <w:szCs w:val="36"/>
        </w:rPr>
        <w:t>5、售后服务方案</w:t>
      </w:r>
    </w:p>
    <w:p>
      <w:pPr>
        <w:spacing w:line="360" w:lineRule="auto"/>
        <w:rPr>
          <w:rFonts w:ascii="仿宋_GB2312" w:hAnsi="楷体" w:eastAsia="仿宋_GB2312"/>
          <w:color w:val="auto"/>
          <w:sz w:val="28"/>
          <w:szCs w:val="28"/>
        </w:rPr>
      </w:pPr>
      <w:r>
        <w:rPr>
          <w:rFonts w:hint="eastAsia" w:ascii="仿宋_GB2312" w:hAnsi="楷体" w:eastAsia="仿宋_GB2312"/>
          <w:color w:val="auto"/>
          <w:sz w:val="28"/>
          <w:szCs w:val="28"/>
        </w:rPr>
        <w:t>说明：</w:t>
      </w:r>
    </w:p>
    <w:p>
      <w:pPr>
        <w:spacing w:line="360" w:lineRule="auto"/>
        <w:rPr>
          <w:rFonts w:ascii="仿宋_GB2312" w:hAnsi="楷体" w:eastAsia="仿宋_GB2312"/>
          <w:color w:val="auto"/>
          <w:sz w:val="28"/>
          <w:szCs w:val="28"/>
        </w:rPr>
      </w:pPr>
      <w:r>
        <w:rPr>
          <w:rFonts w:hint="eastAsia" w:ascii="仿宋_GB2312" w:hAnsi="楷体" w:eastAsia="仿宋_GB2312"/>
          <w:color w:val="auto"/>
          <w:sz w:val="28"/>
          <w:szCs w:val="28"/>
        </w:rPr>
        <w:t xml:space="preserve">    格式及内容由投标人自拟，包含但不限于售后</w:t>
      </w:r>
      <w:r>
        <w:rPr>
          <w:rFonts w:ascii="仿宋_GB2312" w:hAnsi="楷体" w:eastAsia="仿宋_GB2312"/>
          <w:color w:val="auto"/>
          <w:sz w:val="28"/>
          <w:szCs w:val="28"/>
        </w:rPr>
        <w:t>服务</w:t>
      </w:r>
      <w:r>
        <w:rPr>
          <w:rFonts w:hint="eastAsia" w:ascii="仿宋_GB2312" w:hAnsi="楷体" w:eastAsia="仿宋_GB2312"/>
          <w:color w:val="auto"/>
          <w:sz w:val="28"/>
          <w:szCs w:val="28"/>
        </w:rPr>
        <w:t>体系</w:t>
      </w:r>
      <w:r>
        <w:rPr>
          <w:rFonts w:ascii="仿宋_GB2312" w:hAnsi="楷体" w:eastAsia="仿宋_GB2312"/>
          <w:color w:val="auto"/>
          <w:sz w:val="28"/>
          <w:szCs w:val="28"/>
        </w:rPr>
        <w:t>机构</w:t>
      </w:r>
      <w:r>
        <w:rPr>
          <w:rFonts w:hint="eastAsia" w:ascii="仿宋_GB2312" w:hAnsi="楷体" w:eastAsia="仿宋_GB2312"/>
          <w:color w:val="auto"/>
          <w:sz w:val="28"/>
          <w:szCs w:val="28"/>
        </w:rPr>
        <w:t>、售后服务人员组成及分工、技术支持方案、售后服务及保障措施、故障排除能力及响应时间及时性、售后服务承诺等。</w:t>
      </w:r>
    </w:p>
    <w:p>
      <w:pPr>
        <w:rPr>
          <w:color w:val="auto"/>
        </w:rPr>
      </w:pPr>
    </w:p>
    <w:p>
      <w:pPr>
        <w:pStyle w:val="16"/>
        <w:spacing w:beforeLines="100" w:afterLines="100" w:line="360" w:lineRule="auto"/>
        <w:jc w:val="center"/>
        <w:rPr>
          <w:rFonts w:ascii="黑体" w:hAnsi="宋体" w:eastAsia="黑体"/>
          <w:color w:val="auto"/>
          <w:sz w:val="36"/>
          <w:szCs w:val="36"/>
        </w:rPr>
      </w:pPr>
      <w:r>
        <w:rPr>
          <w:rFonts w:hint="eastAsia" w:ascii="黑体" w:hAnsi="宋体" w:eastAsia="黑体"/>
          <w:color w:val="auto"/>
          <w:sz w:val="36"/>
          <w:szCs w:val="36"/>
        </w:rPr>
        <w:t>6、投标人认为有必要补充说明的事项</w:t>
      </w:r>
    </w:p>
    <w:p>
      <w:pPr>
        <w:rPr>
          <w:color w:val="auto"/>
        </w:rPr>
      </w:pPr>
    </w:p>
    <w:p>
      <w:pPr>
        <w:pStyle w:val="2"/>
        <w:jc w:val="center"/>
        <w:rPr>
          <w:rFonts w:ascii="仿宋_GB2312" w:hAnsi="楷体" w:eastAsia="仿宋_GB2312"/>
          <w:color w:val="auto"/>
          <w:sz w:val="28"/>
          <w:szCs w:val="28"/>
        </w:rPr>
      </w:pPr>
      <w:r>
        <w:rPr>
          <w:rFonts w:hint="eastAsia" w:ascii="仿宋_GB2312" w:hAnsi="楷体" w:eastAsia="仿宋_GB2312"/>
          <w:color w:val="auto"/>
          <w:sz w:val="28"/>
          <w:szCs w:val="28"/>
        </w:rPr>
        <w:t>格式及内容由投标人自拟</w:t>
      </w: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rPr>
          <w:color w:val="auto"/>
        </w:rPr>
      </w:pPr>
    </w:p>
    <w:p>
      <w:pPr>
        <w:pStyle w:val="2"/>
        <w:rPr>
          <w:rFonts w:ascii="黑体" w:hAnsi="黑体" w:eastAsia="黑体"/>
          <w:color w:val="auto"/>
          <w:sz w:val="30"/>
          <w:szCs w:val="30"/>
        </w:rPr>
      </w:pPr>
      <w:r>
        <w:rPr>
          <w:rFonts w:hint="eastAsia" w:ascii="黑体" w:hAnsi="黑体" w:eastAsia="黑体"/>
          <w:color w:val="auto"/>
          <w:sz w:val="30"/>
          <w:szCs w:val="30"/>
        </w:rPr>
        <w:t>三、资格部分</w:t>
      </w:r>
    </w:p>
    <w:p>
      <w:pPr>
        <w:pStyle w:val="16"/>
        <w:spacing w:beforeLines="100" w:after="0" w:line="360" w:lineRule="auto"/>
        <w:jc w:val="center"/>
        <w:rPr>
          <w:rFonts w:ascii="黑体" w:hAnsi="宋体" w:eastAsia="黑体"/>
          <w:color w:val="auto"/>
          <w:sz w:val="36"/>
          <w:szCs w:val="36"/>
        </w:rPr>
      </w:pPr>
      <w:r>
        <w:rPr>
          <w:rFonts w:hint="eastAsia" w:ascii="黑体" w:hAnsi="宋体" w:eastAsia="黑体"/>
          <w:color w:val="auto"/>
          <w:sz w:val="36"/>
          <w:szCs w:val="36"/>
        </w:rPr>
        <w:t>1、投标人基本情况表</w:t>
      </w:r>
    </w:p>
    <w:tbl>
      <w:tblPr>
        <w:tblStyle w:val="24"/>
        <w:tblW w:w="9946" w:type="dxa"/>
        <w:tblInd w:w="-165" w:type="dxa"/>
        <w:tblLayout w:type="fixed"/>
        <w:tblCellMar>
          <w:top w:w="0" w:type="dxa"/>
          <w:left w:w="0" w:type="dxa"/>
          <w:bottom w:w="0" w:type="dxa"/>
          <w:right w:w="0" w:type="dxa"/>
        </w:tblCellMar>
      </w:tblPr>
      <w:tblGrid>
        <w:gridCol w:w="1852"/>
        <w:gridCol w:w="1150"/>
        <w:gridCol w:w="539"/>
        <w:gridCol w:w="612"/>
        <w:gridCol w:w="868"/>
        <w:gridCol w:w="282"/>
        <w:gridCol w:w="683"/>
        <w:gridCol w:w="431"/>
        <w:gridCol w:w="37"/>
        <w:gridCol w:w="313"/>
        <w:gridCol w:w="837"/>
        <w:gridCol w:w="663"/>
        <w:gridCol w:w="373"/>
        <w:gridCol w:w="155"/>
        <w:gridCol w:w="1151"/>
      </w:tblGrid>
      <w:tr>
        <w:tblPrEx>
          <w:tblCellMar>
            <w:top w:w="0" w:type="dxa"/>
            <w:left w:w="0" w:type="dxa"/>
            <w:bottom w:w="0" w:type="dxa"/>
            <w:right w:w="0" w:type="dxa"/>
          </w:tblCellMar>
        </w:tblPrEx>
        <w:trPr>
          <w:trHeight w:val="463" w:hRule="atLeast"/>
        </w:trPr>
        <w:tc>
          <w:tcPr>
            <w:tcW w:w="1852" w:type="dxa"/>
            <w:tcBorders>
              <w:top w:val="single" w:color="auto" w:sz="12" w:space="0"/>
              <w:left w:val="single" w:color="auto" w:sz="12" w:space="0"/>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r>
              <w:rPr>
                <w:rFonts w:hint="eastAsia" w:ascii="仿宋_GB2312" w:hAnsi="宋体" w:eastAsia="仿宋_GB2312"/>
                <w:color w:val="auto"/>
                <w:sz w:val="24"/>
              </w:rPr>
              <w:t>投标人名称</w:t>
            </w:r>
          </w:p>
        </w:tc>
        <w:tc>
          <w:tcPr>
            <w:tcW w:w="8094" w:type="dxa"/>
            <w:gridSpan w:val="14"/>
            <w:tcBorders>
              <w:top w:val="single" w:color="auto" w:sz="12" w:space="0"/>
              <w:left w:val="nil"/>
              <w:bottom w:val="single" w:color="auto" w:sz="4" w:space="0"/>
              <w:right w:val="single" w:color="auto" w:sz="12"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p>
        </w:tc>
      </w:tr>
      <w:tr>
        <w:tblPrEx>
          <w:tblCellMar>
            <w:top w:w="0" w:type="dxa"/>
            <w:left w:w="0" w:type="dxa"/>
            <w:bottom w:w="0" w:type="dxa"/>
            <w:right w:w="0" w:type="dxa"/>
          </w:tblCellMar>
        </w:tblPrEx>
        <w:trPr>
          <w:trHeight w:val="485" w:hRule="atLeast"/>
        </w:trPr>
        <w:tc>
          <w:tcPr>
            <w:tcW w:w="1852" w:type="dxa"/>
            <w:tcBorders>
              <w:top w:val="nil"/>
              <w:left w:val="single" w:color="auto" w:sz="12" w:space="0"/>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r>
              <w:rPr>
                <w:rFonts w:hint="eastAsia" w:ascii="仿宋_GB2312" w:hAnsi="宋体" w:eastAsia="仿宋_GB2312"/>
                <w:color w:val="auto"/>
                <w:sz w:val="24"/>
              </w:rPr>
              <w:t>详细地址</w:t>
            </w:r>
          </w:p>
        </w:tc>
        <w:tc>
          <w:tcPr>
            <w:tcW w:w="4915" w:type="dxa"/>
            <w:gridSpan w:val="9"/>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74"/>
              <w:widowControl w:val="0"/>
              <w:pBdr>
                <w:bottom w:val="none" w:color="auto" w:sz="0" w:space="0"/>
              </w:pBdr>
              <w:overflowPunct w:val="0"/>
              <w:topLinePunct/>
              <w:spacing w:before="0" w:beforeAutospacing="0" w:after="0" w:afterAutospacing="0" w:line="440" w:lineRule="exact"/>
              <w:rPr>
                <w:rFonts w:ascii="仿宋_GB2312" w:eastAsia="仿宋_GB2312"/>
                <w:color w:val="auto"/>
                <w:kern w:val="2"/>
                <w:szCs w:val="21"/>
              </w:rPr>
            </w:pPr>
          </w:p>
        </w:tc>
        <w:tc>
          <w:tcPr>
            <w:tcW w:w="1500" w:type="dxa"/>
            <w:gridSpan w:val="2"/>
            <w:tcBorders>
              <w:top w:val="single" w:color="auto" w:sz="4" w:space="0"/>
              <w:left w:val="nil"/>
              <w:bottom w:val="single" w:color="auto" w:sz="4" w:space="0"/>
              <w:right w:val="single" w:color="auto" w:sz="4" w:space="0"/>
            </w:tcBorders>
            <w:vAlign w:val="center"/>
          </w:tcPr>
          <w:p>
            <w:pPr>
              <w:pStyle w:val="74"/>
              <w:widowControl w:val="0"/>
              <w:pBdr>
                <w:bottom w:val="none" w:color="auto" w:sz="0" w:space="0"/>
              </w:pBdr>
              <w:overflowPunct w:val="0"/>
              <w:topLinePunct/>
              <w:spacing w:before="0" w:beforeAutospacing="0" w:after="0" w:afterAutospacing="0" w:line="440" w:lineRule="exact"/>
              <w:rPr>
                <w:rFonts w:ascii="仿宋_GB2312" w:eastAsia="仿宋_GB2312"/>
                <w:color w:val="auto"/>
                <w:kern w:val="2"/>
                <w:szCs w:val="21"/>
              </w:rPr>
            </w:pPr>
            <w:r>
              <w:rPr>
                <w:rFonts w:hint="eastAsia" w:ascii="仿宋_GB2312" w:hAnsi="宋体" w:eastAsia="仿宋_GB2312"/>
                <w:color w:val="auto"/>
              </w:rPr>
              <w:t>邮政编码</w:t>
            </w:r>
          </w:p>
        </w:tc>
        <w:tc>
          <w:tcPr>
            <w:tcW w:w="1679" w:type="dxa"/>
            <w:gridSpan w:val="3"/>
            <w:tcBorders>
              <w:top w:val="single" w:color="auto" w:sz="4" w:space="0"/>
              <w:left w:val="nil"/>
              <w:bottom w:val="single" w:color="auto" w:sz="4" w:space="0"/>
              <w:right w:val="single" w:color="auto" w:sz="12" w:space="0"/>
            </w:tcBorders>
            <w:vAlign w:val="center"/>
          </w:tcPr>
          <w:p>
            <w:pPr>
              <w:pStyle w:val="74"/>
              <w:widowControl w:val="0"/>
              <w:pBdr>
                <w:bottom w:val="none" w:color="auto" w:sz="0" w:space="0"/>
              </w:pBdr>
              <w:overflowPunct w:val="0"/>
              <w:topLinePunct/>
              <w:spacing w:before="0" w:beforeAutospacing="0" w:after="0" w:afterAutospacing="0" w:line="440" w:lineRule="exact"/>
              <w:rPr>
                <w:rFonts w:ascii="仿宋_GB2312" w:eastAsia="仿宋_GB2312"/>
                <w:color w:val="auto"/>
                <w:kern w:val="2"/>
                <w:szCs w:val="21"/>
              </w:rPr>
            </w:pPr>
          </w:p>
        </w:tc>
      </w:tr>
      <w:tr>
        <w:tblPrEx>
          <w:tblCellMar>
            <w:top w:w="0" w:type="dxa"/>
            <w:left w:w="0" w:type="dxa"/>
            <w:bottom w:w="0" w:type="dxa"/>
            <w:right w:w="0" w:type="dxa"/>
          </w:tblCellMar>
        </w:tblPrEx>
        <w:trPr>
          <w:trHeight w:val="475" w:hRule="atLeast"/>
        </w:trPr>
        <w:tc>
          <w:tcPr>
            <w:tcW w:w="1852" w:type="dxa"/>
            <w:tcBorders>
              <w:top w:val="nil"/>
              <w:left w:val="single" w:color="auto" w:sz="12" w:space="0"/>
              <w:bottom w:val="single" w:color="auto" w:sz="4" w:space="0"/>
              <w:right w:val="single" w:color="auto" w:sz="4" w:space="0"/>
            </w:tcBorders>
            <w:tcMar>
              <w:top w:w="15" w:type="dxa"/>
              <w:left w:w="15" w:type="dxa"/>
              <w:bottom w:w="0" w:type="dxa"/>
              <w:right w:w="15" w:type="dxa"/>
            </w:tcMar>
            <w:vAlign w:val="center"/>
          </w:tcPr>
          <w:p>
            <w:pPr>
              <w:pStyle w:val="12"/>
              <w:overflowPunct w:val="0"/>
              <w:topLinePunct/>
              <w:spacing w:line="440" w:lineRule="exact"/>
              <w:jc w:val="center"/>
              <w:rPr>
                <w:rFonts w:ascii="仿宋_GB2312" w:eastAsia="仿宋_GB2312" w:cs="Arial Unicode MS"/>
                <w:color w:val="auto"/>
                <w:szCs w:val="24"/>
              </w:rPr>
            </w:pPr>
            <w:r>
              <w:rPr>
                <w:rFonts w:hint="eastAsia" w:ascii="仿宋_GB2312" w:hAnsi="宋体" w:eastAsia="仿宋_GB2312"/>
                <w:color w:val="auto"/>
              </w:rPr>
              <w:t>企业类型</w:t>
            </w:r>
          </w:p>
        </w:tc>
        <w:tc>
          <w:tcPr>
            <w:tcW w:w="1689"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p>
        </w:tc>
        <w:tc>
          <w:tcPr>
            <w:tcW w:w="148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r>
              <w:rPr>
                <w:rFonts w:hint="eastAsia" w:ascii="仿宋_GB2312" w:hAnsi="宋体" w:eastAsia="仿宋_GB2312" w:cs="Arial Unicode MS"/>
                <w:color w:val="auto"/>
                <w:sz w:val="24"/>
              </w:rPr>
              <w:t>注册资本</w:t>
            </w:r>
          </w:p>
        </w:tc>
        <w:tc>
          <w:tcPr>
            <w:tcW w:w="1746"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rPr>
            </w:pPr>
          </w:p>
        </w:tc>
        <w:tc>
          <w:tcPr>
            <w:tcW w:w="150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r>
              <w:rPr>
                <w:rFonts w:hint="eastAsia" w:ascii="仿宋_GB2312" w:hAnsi="宋体" w:eastAsia="仿宋_GB2312" w:cs="Arial Unicode MS"/>
                <w:color w:val="auto"/>
                <w:sz w:val="24"/>
              </w:rPr>
              <w:t>成立时间</w:t>
            </w:r>
          </w:p>
        </w:tc>
        <w:tc>
          <w:tcPr>
            <w:tcW w:w="1679" w:type="dxa"/>
            <w:gridSpan w:val="3"/>
            <w:tcBorders>
              <w:top w:val="nil"/>
              <w:left w:val="nil"/>
              <w:bottom w:val="single" w:color="auto" w:sz="4" w:space="0"/>
              <w:right w:val="single" w:color="auto" w:sz="12"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p>
        </w:tc>
      </w:tr>
      <w:tr>
        <w:tblPrEx>
          <w:tblCellMar>
            <w:top w:w="0" w:type="dxa"/>
            <w:left w:w="0" w:type="dxa"/>
            <w:bottom w:w="0" w:type="dxa"/>
            <w:right w:w="0" w:type="dxa"/>
          </w:tblCellMar>
        </w:tblPrEx>
        <w:trPr>
          <w:trHeight w:val="497" w:hRule="atLeast"/>
        </w:trPr>
        <w:tc>
          <w:tcPr>
            <w:tcW w:w="1852" w:type="dxa"/>
            <w:tcBorders>
              <w:top w:val="nil"/>
              <w:left w:val="single" w:color="auto" w:sz="12" w:space="0"/>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r>
              <w:rPr>
                <w:rFonts w:hint="eastAsia" w:ascii="仿宋_GB2312" w:hAnsi="宋体" w:eastAsia="仿宋_GB2312"/>
                <w:color w:val="auto"/>
                <w:sz w:val="24"/>
                <w:szCs w:val="20"/>
              </w:rPr>
              <w:t>法定代表人</w:t>
            </w:r>
          </w:p>
        </w:tc>
        <w:tc>
          <w:tcPr>
            <w:tcW w:w="1689"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p>
        </w:tc>
        <w:tc>
          <w:tcPr>
            <w:tcW w:w="148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r>
              <w:rPr>
                <w:rFonts w:hint="eastAsia" w:ascii="仿宋_GB2312" w:hAnsi="宋体" w:eastAsia="仿宋_GB2312"/>
                <w:color w:val="auto"/>
                <w:sz w:val="24"/>
              </w:rPr>
              <w:t>职    务</w:t>
            </w:r>
          </w:p>
        </w:tc>
        <w:tc>
          <w:tcPr>
            <w:tcW w:w="1746"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p>
        </w:tc>
        <w:tc>
          <w:tcPr>
            <w:tcW w:w="150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r>
              <w:rPr>
                <w:rFonts w:hint="eastAsia" w:ascii="仿宋_GB2312" w:hAnsi="宋体" w:eastAsia="仿宋_GB2312"/>
                <w:color w:val="auto"/>
                <w:sz w:val="24"/>
              </w:rPr>
              <w:t>电    话</w:t>
            </w:r>
          </w:p>
        </w:tc>
        <w:tc>
          <w:tcPr>
            <w:tcW w:w="1679" w:type="dxa"/>
            <w:gridSpan w:val="3"/>
            <w:tcBorders>
              <w:top w:val="nil"/>
              <w:left w:val="nil"/>
              <w:bottom w:val="single" w:color="auto" w:sz="4" w:space="0"/>
              <w:right w:val="single" w:color="auto" w:sz="12"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p>
        </w:tc>
      </w:tr>
      <w:tr>
        <w:tblPrEx>
          <w:tblCellMar>
            <w:top w:w="0" w:type="dxa"/>
            <w:left w:w="0" w:type="dxa"/>
            <w:bottom w:w="0" w:type="dxa"/>
            <w:right w:w="0" w:type="dxa"/>
          </w:tblCellMar>
        </w:tblPrEx>
        <w:trPr>
          <w:trHeight w:val="488" w:hRule="atLeast"/>
        </w:trPr>
        <w:tc>
          <w:tcPr>
            <w:tcW w:w="1852" w:type="dxa"/>
            <w:tcBorders>
              <w:top w:val="nil"/>
              <w:left w:val="single" w:color="auto" w:sz="12" w:space="0"/>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r>
              <w:rPr>
                <w:rFonts w:hint="eastAsia" w:ascii="仿宋_GB2312" w:hAnsi="宋体" w:eastAsia="仿宋_GB2312" w:cs="Arial Unicode MS"/>
                <w:color w:val="auto"/>
                <w:sz w:val="24"/>
              </w:rPr>
              <w:t>公司网址</w:t>
            </w:r>
          </w:p>
        </w:tc>
        <w:tc>
          <w:tcPr>
            <w:tcW w:w="4915" w:type="dxa"/>
            <w:gridSpan w:val="9"/>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p>
        </w:tc>
        <w:tc>
          <w:tcPr>
            <w:tcW w:w="150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r>
              <w:rPr>
                <w:rFonts w:hint="eastAsia" w:ascii="仿宋_GB2312" w:hAnsi="宋体" w:eastAsia="仿宋_GB2312"/>
                <w:color w:val="auto"/>
                <w:sz w:val="24"/>
              </w:rPr>
              <w:t>传    真</w:t>
            </w:r>
          </w:p>
        </w:tc>
        <w:tc>
          <w:tcPr>
            <w:tcW w:w="1679" w:type="dxa"/>
            <w:gridSpan w:val="3"/>
            <w:tcBorders>
              <w:top w:val="nil"/>
              <w:left w:val="nil"/>
              <w:bottom w:val="single" w:color="auto" w:sz="4" w:space="0"/>
              <w:right w:val="single" w:color="auto" w:sz="12"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p>
        </w:tc>
      </w:tr>
      <w:tr>
        <w:tblPrEx>
          <w:tblCellMar>
            <w:top w:w="0" w:type="dxa"/>
            <w:left w:w="0" w:type="dxa"/>
            <w:bottom w:w="0" w:type="dxa"/>
            <w:right w:w="0" w:type="dxa"/>
          </w:tblCellMar>
        </w:tblPrEx>
        <w:trPr>
          <w:trHeight w:val="488" w:hRule="atLeast"/>
        </w:trPr>
        <w:tc>
          <w:tcPr>
            <w:tcW w:w="1852" w:type="dxa"/>
            <w:tcBorders>
              <w:top w:val="nil"/>
              <w:left w:val="single" w:color="auto" w:sz="12" w:space="0"/>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hAnsi="宋体" w:eastAsia="仿宋_GB2312" w:cs="Arial Unicode MS"/>
                <w:color w:val="auto"/>
                <w:sz w:val="24"/>
              </w:rPr>
            </w:pPr>
            <w:r>
              <w:rPr>
                <w:rFonts w:hint="eastAsia" w:ascii="仿宋_GB2312" w:hAnsi="宋体" w:eastAsia="仿宋_GB2312" w:cs="Arial Unicode MS"/>
                <w:color w:val="auto"/>
                <w:sz w:val="24"/>
              </w:rPr>
              <w:t>营业执照号</w:t>
            </w:r>
          </w:p>
        </w:tc>
        <w:tc>
          <w:tcPr>
            <w:tcW w:w="8094" w:type="dxa"/>
            <w:gridSpan w:val="14"/>
            <w:tcBorders>
              <w:top w:val="single" w:color="auto" w:sz="4" w:space="0"/>
              <w:left w:val="nil"/>
              <w:bottom w:val="single" w:color="auto" w:sz="4" w:space="0"/>
              <w:right w:val="single" w:color="auto" w:sz="12"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p>
        </w:tc>
      </w:tr>
      <w:tr>
        <w:tblPrEx>
          <w:tblCellMar>
            <w:top w:w="0" w:type="dxa"/>
            <w:left w:w="0" w:type="dxa"/>
            <w:bottom w:w="0" w:type="dxa"/>
            <w:right w:w="0" w:type="dxa"/>
          </w:tblCellMar>
        </w:tblPrEx>
        <w:trPr>
          <w:cantSplit/>
          <w:trHeight w:val="477" w:hRule="atLeast"/>
        </w:trPr>
        <w:tc>
          <w:tcPr>
            <w:tcW w:w="1852" w:type="dxa"/>
            <w:vMerge w:val="restart"/>
            <w:tcBorders>
              <w:top w:val="nil"/>
              <w:left w:val="single" w:color="auto" w:sz="12"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r>
              <w:rPr>
                <w:rFonts w:hint="eastAsia" w:ascii="仿宋_GB2312" w:hAnsi="宋体" w:eastAsia="仿宋_GB2312"/>
                <w:color w:val="auto"/>
                <w:sz w:val="24"/>
              </w:rPr>
              <w:t>营业范围</w:t>
            </w:r>
          </w:p>
        </w:tc>
        <w:tc>
          <w:tcPr>
            <w:tcW w:w="168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r>
              <w:rPr>
                <w:rFonts w:hint="eastAsia" w:ascii="仿宋_GB2312" w:hAnsi="宋体" w:eastAsia="仿宋_GB2312"/>
                <w:color w:val="auto"/>
                <w:sz w:val="24"/>
                <w:szCs w:val="21"/>
              </w:rPr>
              <w:t>主  营</w:t>
            </w:r>
          </w:p>
        </w:tc>
        <w:tc>
          <w:tcPr>
            <w:tcW w:w="6405" w:type="dxa"/>
            <w:gridSpan w:val="12"/>
            <w:tcBorders>
              <w:top w:val="single" w:color="auto" w:sz="4" w:space="0"/>
              <w:left w:val="single" w:color="auto" w:sz="4" w:space="0"/>
              <w:bottom w:val="single" w:color="auto" w:sz="4" w:space="0"/>
              <w:right w:val="single" w:color="auto" w:sz="12" w:space="0"/>
            </w:tcBorders>
            <w:vAlign w:val="center"/>
          </w:tcPr>
          <w:p>
            <w:pPr>
              <w:overflowPunct w:val="0"/>
              <w:topLinePunct/>
              <w:spacing w:line="440" w:lineRule="exact"/>
              <w:jc w:val="center"/>
              <w:rPr>
                <w:rFonts w:ascii="仿宋_GB2312" w:eastAsia="仿宋_GB2312"/>
                <w:color w:val="auto"/>
                <w:sz w:val="24"/>
                <w:szCs w:val="21"/>
              </w:rPr>
            </w:pPr>
          </w:p>
        </w:tc>
      </w:tr>
      <w:tr>
        <w:tblPrEx>
          <w:tblCellMar>
            <w:top w:w="0" w:type="dxa"/>
            <w:left w:w="0" w:type="dxa"/>
            <w:bottom w:w="0" w:type="dxa"/>
            <w:right w:w="0" w:type="dxa"/>
          </w:tblCellMar>
        </w:tblPrEx>
        <w:trPr>
          <w:cantSplit/>
          <w:trHeight w:val="477" w:hRule="atLeast"/>
        </w:trPr>
        <w:tc>
          <w:tcPr>
            <w:tcW w:w="1852" w:type="dxa"/>
            <w:vMerge w:val="continue"/>
            <w:tcBorders>
              <w:left w:val="single" w:color="auto" w:sz="12"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rPr>
            </w:pPr>
          </w:p>
        </w:tc>
        <w:tc>
          <w:tcPr>
            <w:tcW w:w="168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r>
              <w:rPr>
                <w:rFonts w:hint="eastAsia" w:ascii="仿宋_GB2312" w:hAnsi="宋体" w:eastAsia="仿宋_GB2312"/>
                <w:color w:val="auto"/>
                <w:sz w:val="24"/>
              </w:rPr>
              <w:t>兼  营</w:t>
            </w:r>
          </w:p>
        </w:tc>
        <w:tc>
          <w:tcPr>
            <w:tcW w:w="6405" w:type="dxa"/>
            <w:gridSpan w:val="12"/>
            <w:tcBorders>
              <w:top w:val="single" w:color="auto" w:sz="4" w:space="0"/>
              <w:left w:val="single" w:color="auto" w:sz="4" w:space="0"/>
              <w:bottom w:val="single" w:color="auto" w:sz="4" w:space="0"/>
              <w:right w:val="single" w:color="auto" w:sz="12" w:space="0"/>
            </w:tcBorders>
            <w:vAlign w:val="center"/>
          </w:tcPr>
          <w:p>
            <w:pPr>
              <w:overflowPunct w:val="0"/>
              <w:topLinePunct/>
              <w:spacing w:line="440" w:lineRule="exact"/>
              <w:jc w:val="center"/>
              <w:rPr>
                <w:rFonts w:ascii="仿宋_GB2312" w:eastAsia="仿宋_GB2312"/>
                <w:color w:val="auto"/>
                <w:sz w:val="24"/>
                <w:szCs w:val="21"/>
              </w:rPr>
            </w:pPr>
          </w:p>
        </w:tc>
      </w:tr>
      <w:tr>
        <w:tblPrEx>
          <w:tblCellMar>
            <w:top w:w="0" w:type="dxa"/>
            <w:left w:w="0" w:type="dxa"/>
            <w:bottom w:w="0" w:type="dxa"/>
            <w:right w:w="0" w:type="dxa"/>
          </w:tblCellMar>
        </w:tblPrEx>
        <w:trPr>
          <w:cantSplit/>
          <w:trHeight w:val="477" w:hRule="atLeast"/>
        </w:trPr>
        <w:tc>
          <w:tcPr>
            <w:tcW w:w="1852" w:type="dxa"/>
            <w:vMerge w:val="continue"/>
            <w:tcBorders>
              <w:left w:val="single" w:color="auto" w:sz="12" w:space="0"/>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rPr>
            </w:pPr>
          </w:p>
        </w:tc>
        <w:tc>
          <w:tcPr>
            <w:tcW w:w="168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overflowPunct w:val="0"/>
              <w:topLinePunct/>
              <w:spacing w:line="440" w:lineRule="exact"/>
              <w:jc w:val="center"/>
              <w:rPr>
                <w:rFonts w:ascii="仿宋_GB2312" w:eastAsia="仿宋_GB2312"/>
                <w:color w:val="auto"/>
                <w:szCs w:val="21"/>
              </w:rPr>
            </w:pPr>
            <w:r>
              <w:rPr>
                <w:rFonts w:hint="eastAsia" w:ascii="仿宋_GB2312" w:hAnsi="宋体" w:eastAsia="仿宋_GB2312"/>
                <w:color w:val="auto"/>
                <w:szCs w:val="21"/>
              </w:rPr>
              <w:t>经营优势和特长</w:t>
            </w:r>
          </w:p>
        </w:tc>
        <w:tc>
          <w:tcPr>
            <w:tcW w:w="6405" w:type="dxa"/>
            <w:gridSpan w:val="12"/>
            <w:tcBorders>
              <w:top w:val="single" w:color="auto" w:sz="4" w:space="0"/>
              <w:left w:val="single" w:color="auto" w:sz="4" w:space="0"/>
              <w:bottom w:val="single" w:color="auto" w:sz="4" w:space="0"/>
              <w:right w:val="single" w:color="auto" w:sz="12" w:space="0"/>
            </w:tcBorders>
            <w:vAlign w:val="center"/>
          </w:tcPr>
          <w:p>
            <w:pPr>
              <w:overflowPunct w:val="0"/>
              <w:topLinePunct/>
              <w:spacing w:line="440" w:lineRule="exact"/>
              <w:jc w:val="center"/>
              <w:rPr>
                <w:rFonts w:ascii="仿宋_GB2312" w:eastAsia="仿宋_GB2312"/>
                <w:color w:val="auto"/>
                <w:sz w:val="24"/>
                <w:szCs w:val="21"/>
              </w:rPr>
            </w:pPr>
          </w:p>
        </w:tc>
      </w:tr>
      <w:tr>
        <w:tblPrEx>
          <w:tblCellMar>
            <w:top w:w="0" w:type="dxa"/>
            <w:left w:w="0" w:type="dxa"/>
            <w:bottom w:w="0" w:type="dxa"/>
            <w:right w:w="0" w:type="dxa"/>
          </w:tblCellMar>
        </w:tblPrEx>
        <w:trPr>
          <w:cantSplit/>
          <w:trHeight w:val="477" w:hRule="atLeast"/>
        </w:trPr>
        <w:tc>
          <w:tcPr>
            <w:tcW w:w="1852" w:type="dxa"/>
            <w:tcBorders>
              <w:left w:val="single" w:color="auto" w:sz="12" w:space="0"/>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rPr>
            </w:pPr>
            <w:r>
              <w:rPr>
                <w:rFonts w:hint="eastAsia" w:ascii="仿宋_GB2312" w:eastAsia="仿宋_GB2312"/>
                <w:color w:val="auto"/>
                <w:sz w:val="24"/>
              </w:rPr>
              <w:t>资质情况</w:t>
            </w:r>
          </w:p>
        </w:tc>
        <w:tc>
          <w:tcPr>
            <w:tcW w:w="8094" w:type="dxa"/>
            <w:gridSpan w:val="14"/>
            <w:tcBorders>
              <w:top w:val="single" w:color="auto" w:sz="4" w:space="0"/>
              <w:left w:val="single" w:color="auto" w:sz="4" w:space="0"/>
              <w:bottom w:val="single" w:color="auto" w:sz="4" w:space="0"/>
              <w:right w:val="single" w:color="auto" w:sz="12" w:space="0"/>
            </w:tcBorders>
            <w:tcMar>
              <w:top w:w="15" w:type="dxa"/>
              <w:left w:w="15" w:type="dxa"/>
              <w:bottom w:w="0" w:type="dxa"/>
              <w:right w:w="15" w:type="dxa"/>
            </w:tcMar>
          </w:tcPr>
          <w:p>
            <w:pPr>
              <w:overflowPunct w:val="0"/>
              <w:topLinePunct/>
              <w:spacing w:line="440" w:lineRule="exact"/>
              <w:jc w:val="center"/>
              <w:rPr>
                <w:rFonts w:ascii="仿宋_GB2312" w:eastAsia="仿宋_GB2312"/>
                <w:color w:val="auto"/>
                <w:sz w:val="24"/>
                <w:szCs w:val="21"/>
              </w:rPr>
            </w:pPr>
          </w:p>
        </w:tc>
      </w:tr>
      <w:tr>
        <w:tblPrEx>
          <w:tblCellMar>
            <w:top w:w="0" w:type="dxa"/>
            <w:left w:w="0" w:type="dxa"/>
            <w:bottom w:w="0" w:type="dxa"/>
            <w:right w:w="0" w:type="dxa"/>
          </w:tblCellMar>
        </w:tblPrEx>
        <w:trPr>
          <w:cantSplit/>
          <w:trHeight w:val="514" w:hRule="atLeast"/>
        </w:trPr>
        <w:tc>
          <w:tcPr>
            <w:tcW w:w="1852" w:type="dxa"/>
            <w:vMerge w:val="restart"/>
            <w:tcBorders>
              <w:top w:val="nil"/>
              <w:left w:val="single" w:color="auto" w:sz="12"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rPr>
            </w:pPr>
            <w:r>
              <w:rPr>
                <w:rFonts w:hint="eastAsia" w:ascii="仿宋_GB2312" w:hAnsi="宋体" w:eastAsia="仿宋_GB2312"/>
                <w:color w:val="auto"/>
                <w:sz w:val="24"/>
              </w:rPr>
              <w:t>财务经营状况</w:t>
            </w:r>
          </w:p>
          <w:p>
            <w:pPr>
              <w:overflowPunct w:val="0"/>
              <w:topLinePunct/>
              <w:spacing w:line="440" w:lineRule="exact"/>
              <w:jc w:val="center"/>
              <w:rPr>
                <w:rFonts w:ascii="仿宋_GB2312" w:eastAsia="仿宋_GB2312" w:cs="Arial Unicode MS"/>
                <w:color w:val="auto"/>
                <w:szCs w:val="21"/>
              </w:rPr>
            </w:pPr>
            <w:r>
              <w:rPr>
                <w:rFonts w:hint="eastAsia" w:ascii="仿宋_GB2312" w:hAnsi="宋体" w:eastAsia="仿宋_GB2312"/>
                <w:color w:val="auto"/>
                <w:szCs w:val="21"/>
              </w:rPr>
              <w:t>（最近二个年度）</w:t>
            </w:r>
          </w:p>
        </w:tc>
        <w:tc>
          <w:tcPr>
            <w:tcW w:w="1689"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r>
              <w:rPr>
                <w:rFonts w:hint="eastAsia" w:ascii="仿宋_GB2312" w:hAnsi="宋体" w:eastAsia="仿宋_GB2312"/>
                <w:color w:val="auto"/>
                <w:sz w:val="24"/>
                <w:szCs w:val="21"/>
              </w:rPr>
              <w:t>年   度</w:t>
            </w:r>
          </w:p>
        </w:tc>
        <w:tc>
          <w:tcPr>
            <w:tcW w:w="2876"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hAnsi="宋体" w:eastAsia="仿宋_GB2312"/>
                <w:color w:val="auto"/>
                <w:sz w:val="24"/>
              </w:rPr>
            </w:pPr>
            <w:r>
              <w:rPr>
                <w:rFonts w:hint="eastAsia" w:ascii="仿宋_GB2312" w:hAnsi="宋体" w:eastAsia="仿宋_GB2312"/>
                <w:color w:val="auto"/>
                <w:sz w:val="24"/>
              </w:rPr>
              <w:t>营业总收入</w:t>
            </w:r>
          </w:p>
        </w:tc>
        <w:tc>
          <w:tcPr>
            <w:tcW w:w="3529" w:type="dxa"/>
            <w:gridSpan w:val="7"/>
            <w:tcBorders>
              <w:top w:val="single" w:color="auto" w:sz="4" w:space="0"/>
              <w:left w:val="nil"/>
              <w:bottom w:val="single" w:color="auto" w:sz="4" w:space="0"/>
              <w:right w:val="single" w:color="auto" w:sz="12"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r>
              <w:rPr>
                <w:rFonts w:hint="eastAsia" w:ascii="仿宋_GB2312" w:hAnsi="宋体" w:eastAsia="仿宋_GB2312" w:cs="Arial Unicode MS"/>
                <w:color w:val="auto"/>
                <w:sz w:val="24"/>
              </w:rPr>
              <w:t>负债总额</w:t>
            </w:r>
          </w:p>
        </w:tc>
      </w:tr>
      <w:tr>
        <w:tblPrEx>
          <w:tblCellMar>
            <w:top w:w="0" w:type="dxa"/>
            <w:left w:w="0" w:type="dxa"/>
            <w:bottom w:w="0" w:type="dxa"/>
            <w:right w:w="0" w:type="dxa"/>
          </w:tblCellMar>
        </w:tblPrEx>
        <w:trPr>
          <w:cantSplit/>
          <w:trHeight w:val="475" w:hRule="atLeast"/>
        </w:trPr>
        <w:tc>
          <w:tcPr>
            <w:tcW w:w="1852" w:type="dxa"/>
            <w:vMerge w:val="continue"/>
            <w:tcBorders>
              <w:left w:val="single" w:color="auto" w:sz="12"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p>
        </w:tc>
        <w:tc>
          <w:tcPr>
            <w:tcW w:w="1689"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p>
        </w:tc>
        <w:tc>
          <w:tcPr>
            <w:tcW w:w="2876"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p>
        </w:tc>
        <w:tc>
          <w:tcPr>
            <w:tcW w:w="3529" w:type="dxa"/>
            <w:gridSpan w:val="7"/>
            <w:tcBorders>
              <w:top w:val="single" w:color="auto" w:sz="4" w:space="0"/>
              <w:left w:val="nil"/>
              <w:bottom w:val="single" w:color="auto" w:sz="4" w:space="0"/>
              <w:right w:val="single" w:color="auto" w:sz="12"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p>
        </w:tc>
      </w:tr>
      <w:tr>
        <w:tblPrEx>
          <w:tblCellMar>
            <w:top w:w="0" w:type="dxa"/>
            <w:left w:w="0" w:type="dxa"/>
            <w:bottom w:w="0" w:type="dxa"/>
            <w:right w:w="0" w:type="dxa"/>
          </w:tblCellMar>
        </w:tblPrEx>
        <w:trPr>
          <w:cantSplit/>
          <w:trHeight w:val="482" w:hRule="atLeast"/>
        </w:trPr>
        <w:tc>
          <w:tcPr>
            <w:tcW w:w="1852" w:type="dxa"/>
            <w:vMerge w:val="continue"/>
            <w:tcBorders>
              <w:left w:val="single" w:color="auto" w:sz="12" w:space="0"/>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p>
        </w:tc>
        <w:tc>
          <w:tcPr>
            <w:tcW w:w="1689"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p>
        </w:tc>
        <w:tc>
          <w:tcPr>
            <w:tcW w:w="2876"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p>
        </w:tc>
        <w:tc>
          <w:tcPr>
            <w:tcW w:w="3529" w:type="dxa"/>
            <w:gridSpan w:val="7"/>
            <w:tcBorders>
              <w:top w:val="single" w:color="auto" w:sz="4" w:space="0"/>
              <w:left w:val="nil"/>
              <w:bottom w:val="single" w:color="auto" w:sz="4" w:space="0"/>
              <w:right w:val="single" w:color="auto" w:sz="12"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p>
        </w:tc>
      </w:tr>
      <w:tr>
        <w:tblPrEx>
          <w:tblCellMar>
            <w:top w:w="0" w:type="dxa"/>
            <w:left w:w="0" w:type="dxa"/>
            <w:bottom w:w="0" w:type="dxa"/>
            <w:right w:w="0" w:type="dxa"/>
          </w:tblCellMar>
        </w:tblPrEx>
        <w:trPr>
          <w:cantSplit/>
          <w:trHeight w:val="489" w:hRule="atLeast"/>
        </w:trPr>
        <w:tc>
          <w:tcPr>
            <w:tcW w:w="1852" w:type="dxa"/>
            <w:vMerge w:val="restart"/>
            <w:tcBorders>
              <w:left w:val="single" w:color="auto" w:sz="12"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hAnsi="宋体" w:eastAsia="仿宋_GB2312" w:cs="Arial Unicode MS"/>
                <w:color w:val="auto"/>
                <w:sz w:val="24"/>
              </w:rPr>
            </w:pPr>
            <w:r>
              <w:rPr>
                <w:rFonts w:hint="eastAsia" w:ascii="仿宋_GB2312" w:hAnsi="宋体" w:eastAsia="仿宋_GB2312" w:cs="Arial Unicode MS"/>
                <w:color w:val="auto"/>
                <w:sz w:val="24"/>
              </w:rPr>
              <w:t>基本账户</w:t>
            </w:r>
          </w:p>
          <w:p>
            <w:pPr>
              <w:overflowPunct w:val="0"/>
              <w:topLinePunct/>
              <w:spacing w:line="440" w:lineRule="exact"/>
              <w:jc w:val="center"/>
              <w:rPr>
                <w:rFonts w:ascii="仿宋_GB2312" w:eastAsia="仿宋_GB2312" w:cs="Arial Unicode MS"/>
                <w:color w:val="auto"/>
                <w:sz w:val="24"/>
              </w:rPr>
            </w:pPr>
            <w:r>
              <w:rPr>
                <w:rFonts w:hint="eastAsia" w:ascii="仿宋_GB2312" w:hAnsi="宋体" w:eastAsia="仿宋_GB2312" w:cs="Arial Unicode MS"/>
                <w:color w:val="auto"/>
                <w:sz w:val="24"/>
              </w:rPr>
              <w:t>开户银行</w:t>
            </w:r>
          </w:p>
        </w:tc>
        <w:tc>
          <w:tcPr>
            <w:tcW w:w="1689"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rPr>
            </w:pPr>
            <w:r>
              <w:rPr>
                <w:rFonts w:hint="eastAsia" w:ascii="仿宋_GB2312" w:hAnsi="宋体" w:eastAsia="仿宋_GB2312"/>
                <w:color w:val="auto"/>
                <w:sz w:val="24"/>
              </w:rPr>
              <w:t>开户行名称</w:t>
            </w:r>
          </w:p>
        </w:tc>
        <w:tc>
          <w:tcPr>
            <w:tcW w:w="3226" w:type="dxa"/>
            <w:gridSpan w:val="7"/>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p>
        </w:tc>
        <w:tc>
          <w:tcPr>
            <w:tcW w:w="187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r>
              <w:rPr>
                <w:rFonts w:hint="eastAsia" w:ascii="仿宋_GB2312" w:hAnsi="宋体" w:eastAsia="仿宋_GB2312"/>
                <w:color w:val="auto"/>
                <w:sz w:val="24"/>
                <w:szCs w:val="21"/>
              </w:rPr>
              <w:t>联系电话</w:t>
            </w:r>
          </w:p>
        </w:tc>
        <w:tc>
          <w:tcPr>
            <w:tcW w:w="1306" w:type="dxa"/>
            <w:gridSpan w:val="2"/>
            <w:tcBorders>
              <w:top w:val="single" w:color="auto" w:sz="4" w:space="0"/>
              <w:left w:val="nil"/>
              <w:bottom w:val="single" w:color="auto" w:sz="4" w:space="0"/>
              <w:right w:val="single" w:color="auto" w:sz="12"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p>
        </w:tc>
      </w:tr>
      <w:tr>
        <w:tblPrEx>
          <w:tblCellMar>
            <w:top w:w="0" w:type="dxa"/>
            <w:left w:w="0" w:type="dxa"/>
            <w:bottom w:w="0" w:type="dxa"/>
            <w:right w:w="0" w:type="dxa"/>
          </w:tblCellMar>
        </w:tblPrEx>
        <w:trPr>
          <w:cantSplit/>
          <w:trHeight w:val="480" w:hRule="atLeast"/>
        </w:trPr>
        <w:tc>
          <w:tcPr>
            <w:tcW w:w="1852" w:type="dxa"/>
            <w:vMerge w:val="continue"/>
            <w:tcBorders>
              <w:left w:val="single" w:color="auto" w:sz="12" w:space="0"/>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p>
        </w:tc>
        <w:tc>
          <w:tcPr>
            <w:tcW w:w="1689"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hAnsi="宋体" w:eastAsia="仿宋_GB2312"/>
                <w:color w:val="auto"/>
                <w:sz w:val="24"/>
              </w:rPr>
            </w:pPr>
            <w:r>
              <w:rPr>
                <w:rFonts w:hint="eastAsia" w:ascii="仿宋_GB2312" w:hAnsi="宋体" w:eastAsia="仿宋_GB2312"/>
                <w:color w:val="auto"/>
                <w:sz w:val="24"/>
              </w:rPr>
              <w:t>开户行地址</w:t>
            </w:r>
          </w:p>
        </w:tc>
        <w:tc>
          <w:tcPr>
            <w:tcW w:w="3226" w:type="dxa"/>
            <w:gridSpan w:val="7"/>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p>
        </w:tc>
        <w:tc>
          <w:tcPr>
            <w:tcW w:w="187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hAnsi="宋体" w:eastAsia="仿宋_GB2312"/>
                <w:color w:val="auto"/>
                <w:sz w:val="24"/>
                <w:szCs w:val="21"/>
              </w:rPr>
            </w:pPr>
            <w:r>
              <w:rPr>
                <w:rFonts w:hint="eastAsia" w:ascii="仿宋_GB2312" w:hAnsi="宋体" w:eastAsia="仿宋_GB2312"/>
                <w:color w:val="auto"/>
                <w:sz w:val="24"/>
                <w:szCs w:val="21"/>
              </w:rPr>
              <w:t>联 系 人</w:t>
            </w:r>
          </w:p>
        </w:tc>
        <w:tc>
          <w:tcPr>
            <w:tcW w:w="1306" w:type="dxa"/>
            <w:gridSpan w:val="2"/>
            <w:tcBorders>
              <w:top w:val="single" w:color="auto" w:sz="4" w:space="0"/>
              <w:left w:val="nil"/>
              <w:bottom w:val="single" w:color="auto" w:sz="4" w:space="0"/>
              <w:right w:val="single" w:color="auto" w:sz="12"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p>
        </w:tc>
      </w:tr>
      <w:tr>
        <w:tblPrEx>
          <w:tblCellMar>
            <w:top w:w="0" w:type="dxa"/>
            <w:left w:w="0" w:type="dxa"/>
            <w:bottom w:w="0" w:type="dxa"/>
            <w:right w:w="0" w:type="dxa"/>
          </w:tblCellMar>
        </w:tblPrEx>
        <w:trPr>
          <w:cantSplit/>
          <w:trHeight w:val="480" w:hRule="atLeast"/>
        </w:trPr>
        <w:tc>
          <w:tcPr>
            <w:tcW w:w="1852" w:type="dxa"/>
            <w:vMerge w:val="continue"/>
            <w:tcBorders>
              <w:left w:val="single" w:color="auto" w:sz="12" w:space="0"/>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p>
        </w:tc>
        <w:tc>
          <w:tcPr>
            <w:tcW w:w="1689"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rPr>
            </w:pPr>
            <w:r>
              <w:rPr>
                <w:rFonts w:hint="eastAsia" w:ascii="仿宋_GB2312" w:eastAsia="仿宋_GB2312"/>
                <w:color w:val="auto"/>
                <w:sz w:val="24"/>
              </w:rPr>
              <w:t>账号</w:t>
            </w:r>
          </w:p>
        </w:tc>
        <w:tc>
          <w:tcPr>
            <w:tcW w:w="3226" w:type="dxa"/>
            <w:gridSpan w:val="7"/>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p>
        </w:tc>
        <w:tc>
          <w:tcPr>
            <w:tcW w:w="187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r>
              <w:rPr>
                <w:rFonts w:hint="eastAsia" w:ascii="仿宋_GB2312" w:eastAsia="仿宋_GB2312"/>
                <w:color w:val="auto"/>
                <w:sz w:val="24"/>
                <w:szCs w:val="21"/>
              </w:rPr>
              <w:t>行号</w:t>
            </w:r>
          </w:p>
        </w:tc>
        <w:tc>
          <w:tcPr>
            <w:tcW w:w="1306" w:type="dxa"/>
            <w:gridSpan w:val="2"/>
            <w:tcBorders>
              <w:top w:val="single" w:color="auto" w:sz="4" w:space="0"/>
              <w:left w:val="nil"/>
              <w:bottom w:val="single" w:color="auto" w:sz="4" w:space="0"/>
              <w:right w:val="single" w:color="auto" w:sz="12"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p>
        </w:tc>
      </w:tr>
      <w:tr>
        <w:tblPrEx>
          <w:tblCellMar>
            <w:top w:w="0" w:type="dxa"/>
            <w:left w:w="0" w:type="dxa"/>
            <w:bottom w:w="0" w:type="dxa"/>
            <w:right w:w="0" w:type="dxa"/>
          </w:tblCellMar>
        </w:tblPrEx>
        <w:trPr>
          <w:cantSplit/>
          <w:trHeight w:val="486" w:hRule="atLeast"/>
        </w:trPr>
        <w:tc>
          <w:tcPr>
            <w:tcW w:w="1852" w:type="dxa"/>
            <w:vMerge w:val="restart"/>
            <w:tcBorders>
              <w:top w:val="single" w:color="auto" w:sz="4" w:space="0"/>
              <w:left w:val="single" w:color="auto" w:sz="12" w:space="0"/>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r>
              <w:rPr>
                <w:rFonts w:hint="eastAsia" w:ascii="仿宋_GB2312" w:hAnsi="宋体" w:eastAsia="仿宋_GB2312"/>
                <w:color w:val="auto"/>
                <w:sz w:val="24"/>
              </w:rPr>
              <w:t>主营业务情况</w:t>
            </w:r>
          </w:p>
        </w:tc>
        <w:tc>
          <w:tcPr>
            <w:tcW w:w="4134" w:type="dxa"/>
            <w:gridSpan w:val="6"/>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r>
              <w:rPr>
                <w:rFonts w:hint="eastAsia" w:ascii="仿宋_GB2312" w:hAnsi="宋体" w:eastAsia="仿宋_GB2312"/>
                <w:color w:val="auto"/>
                <w:sz w:val="24"/>
              </w:rPr>
              <w:t>主营业务名称</w:t>
            </w:r>
          </w:p>
        </w:tc>
        <w:tc>
          <w:tcPr>
            <w:tcW w:w="3960" w:type="dxa"/>
            <w:gridSpan w:val="8"/>
            <w:tcBorders>
              <w:top w:val="single" w:color="auto" w:sz="4" w:space="0"/>
              <w:left w:val="nil"/>
              <w:bottom w:val="single" w:color="auto" w:sz="4" w:space="0"/>
              <w:right w:val="single" w:color="auto" w:sz="12"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r>
              <w:rPr>
                <w:rFonts w:hint="eastAsia" w:ascii="仿宋_GB2312" w:hAnsi="宋体" w:eastAsia="仿宋_GB2312"/>
                <w:color w:val="auto"/>
                <w:sz w:val="24"/>
              </w:rPr>
              <w:t>上年经营额</w:t>
            </w:r>
          </w:p>
        </w:tc>
      </w:tr>
      <w:tr>
        <w:tblPrEx>
          <w:tblCellMar>
            <w:top w:w="0" w:type="dxa"/>
            <w:left w:w="0" w:type="dxa"/>
            <w:bottom w:w="0" w:type="dxa"/>
            <w:right w:w="0" w:type="dxa"/>
          </w:tblCellMar>
        </w:tblPrEx>
        <w:trPr>
          <w:cantSplit/>
          <w:trHeight w:val="492" w:hRule="atLeast"/>
        </w:trPr>
        <w:tc>
          <w:tcPr>
            <w:tcW w:w="1852" w:type="dxa"/>
            <w:vMerge w:val="continue"/>
            <w:tcBorders>
              <w:top w:val="single" w:color="auto" w:sz="4" w:space="0"/>
              <w:left w:val="single" w:color="auto" w:sz="12" w:space="0"/>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p>
        </w:tc>
        <w:tc>
          <w:tcPr>
            <w:tcW w:w="4134" w:type="dxa"/>
            <w:gridSpan w:val="6"/>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12"/>
              <w:overflowPunct w:val="0"/>
              <w:topLinePunct/>
              <w:spacing w:line="440" w:lineRule="exact"/>
              <w:jc w:val="center"/>
              <w:rPr>
                <w:rFonts w:ascii="仿宋_GB2312" w:eastAsia="仿宋_GB2312"/>
                <w:color w:val="auto"/>
                <w:szCs w:val="21"/>
              </w:rPr>
            </w:pPr>
          </w:p>
        </w:tc>
        <w:tc>
          <w:tcPr>
            <w:tcW w:w="3960" w:type="dxa"/>
            <w:gridSpan w:val="8"/>
            <w:tcBorders>
              <w:top w:val="single" w:color="auto" w:sz="4" w:space="0"/>
              <w:left w:val="nil"/>
              <w:bottom w:val="single" w:color="auto" w:sz="4" w:space="0"/>
              <w:right w:val="single" w:color="auto" w:sz="12"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p>
        </w:tc>
      </w:tr>
      <w:tr>
        <w:tblPrEx>
          <w:tblCellMar>
            <w:top w:w="0" w:type="dxa"/>
            <w:left w:w="0" w:type="dxa"/>
            <w:bottom w:w="0" w:type="dxa"/>
            <w:right w:w="0" w:type="dxa"/>
          </w:tblCellMar>
        </w:tblPrEx>
        <w:trPr>
          <w:cantSplit/>
          <w:trHeight w:val="468" w:hRule="atLeast"/>
        </w:trPr>
        <w:tc>
          <w:tcPr>
            <w:tcW w:w="1852" w:type="dxa"/>
            <w:vMerge w:val="continue"/>
            <w:tcBorders>
              <w:top w:val="single" w:color="auto" w:sz="4" w:space="0"/>
              <w:left w:val="single" w:color="auto" w:sz="12" w:space="0"/>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p>
        </w:tc>
        <w:tc>
          <w:tcPr>
            <w:tcW w:w="4134" w:type="dxa"/>
            <w:gridSpan w:val="6"/>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p>
        </w:tc>
        <w:tc>
          <w:tcPr>
            <w:tcW w:w="3960" w:type="dxa"/>
            <w:gridSpan w:val="8"/>
            <w:tcBorders>
              <w:top w:val="single" w:color="auto" w:sz="4" w:space="0"/>
              <w:left w:val="nil"/>
              <w:bottom w:val="single" w:color="auto" w:sz="4" w:space="0"/>
              <w:right w:val="single" w:color="auto" w:sz="12"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olor w:val="auto"/>
                <w:sz w:val="24"/>
                <w:szCs w:val="21"/>
              </w:rPr>
            </w:pPr>
          </w:p>
        </w:tc>
      </w:tr>
      <w:tr>
        <w:tblPrEx>
          <w:tblCellMar>
            <w:top w:w="0" w:type="dxa"/>
            <w:left w:w="0" w:type="dxa"/>
            <w:bottom w:w="0" w:type="dxa"/>
            <w:right w:w="0" w:type="dxa"/>
          </w:tblCellMar>
        </w:tblPrEx>
        <w:trPr>
          <w:cantSplit/>
          <w:trHeight w:val="477" w:hRule="atLeast"/>
        </w:trPr>
        <w:tc>
          <w:tcPr>
            <w:tcW w:w="1852" w:type="dxa"/>
            <w:vMerge w:val="restart"/>
            <w:tcBorders>
              <w:top w:val="single" w:color="auto" w:sz="4" w:space="0"/>
              <w:left w:val="single" w:color="auto" w:sz="12" w:space="0"/>
              <w:bottom w:val="single" w:color="auto" w:sz="4"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r>
              <w:rPr>
                <w:rFonts w:hint="eastAsia" w:ascii="仿宋_GB2312" w:hAnsi="宋体" w:eastAsia="仿宋_GB2312" w:cs="Arial Unicode MS"/>
                <w:color w:val="auto"/>
                <w:sz w:val="24"/>
              </w:rPr>
              <w:t>人员构成</w:t>
            </w:r>
          </w:p>
        </w:tc>
        <w:tc>
          <w:tcPr>
            <w:tcW w:w="115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overflowPunct w:val="0"/>
              <w:topLinePunct/>
              <w:spacing w:line="280" w:lineRule="exact"/>
              <w:jc w:val="center"/>
              <w:rPr>
                <w:rFonts w:ascii="仿宋_GB2312" w:eastAsia="仿宋_GB2312"/>
                <w:color w:val="auto"/>
                <w:sz w:val="18"/>
                <w:szCs w:val="18"/>
              </w:rPr>
            </w:pPr>
            <w:r>
              <w:rPr>
                <w:rFonts w:hint="eastAsia" w:ascii="仿宋_GB2312" w:hAnsi="宋体" w:eastAsia="仿宋_GB2312"/>
                <w:color w:val="auto"/>
                <w:sz w:val="18"/>
                <w:szCs w:val="18"/>
              </w:rPr>
              <w:t>职工总数</w:t>
            </w:r>
          </w:p>
        </w:tc>
        <w:tc>
          <w:tcPr>
            <w:tcW w:w="1151" w:type="dxa"/>
            <w:gridSpan w:val="2"/>
            <w:tcBorders>
              <w:top w:val="single" w:color="auto" w:sz="4" w:space="0"/>
              <w:left w:val="nil"/>
              <w:bottom w:val="single" w:color="auto" w:sz="4" w:space="0"/>
              <w:right w:val="single" w:color="auto" w:sz="4" w:space="0"/>
            </w:tcBorders>
            <w:vAlign w:val="center"/>
          </w:tcPr>
          <w:p>
            <w:pPr>
              <w:overflowPunct w:val="0"/>
              <w:topLinePunct/>
              <w:spacing w:line="280" w:lineRule="exact"/>
              <w:jc w:val="center"/>
              <w:rPr>
                <w:rFonts w:ascii="仿宋_GB2312" w:eastAsia="仿宋_GB2312"/>
                <w:color w:val="auto"/>
                <w:sz w:val="18"/>
                <w:szCs w:val="18"/>
              </w:rPr>
            </w:pPr>
            <w:r>
              <w:rPr>
                <w:rFonts w:hint="eastAsia" w:ascii="仿宋_GB2312" w:hAnsi="宋体" w:eastAsia="仿宋_GB2312"/>
                <w:color w:val="auto"/>
                <w:sz w:val="18"/>
                <w:szCs w:val="18"/>
              </w:rPr>
              <w:t>管理人员</w:t>
            </w:r>
          </w:p>
        </w:tc>
        <w:tc>
          <w:tcPr>
            <w:tcW w:w="1150" w:type="dxa"/>
            <w:gridSpan w:val="2"/>
            <w:tcBorders>
              <w:top w:val="single" w:color="auto" w:sz="4" w:space="0"/>
              <w:left w:val="nil"/>
              <w:bottom w:val="single" w:color="auto" w:sz="4" w:space="0"/>
              <w:right w:val="single" w:color="auto" w:sz="4" w:space="0"/>
            </w:tcBorders>
            <w:vAlign w:val="center"/>
          </w:tcPr>
          <w:p>
            <w:pPr>
              <w:overflowPunct w:val="0"/>
              <w:topLinePunct/>
              <w:spacing w:line="280" w:lineRule="exact"/>
              <w:jc w:val="center"/>
              <w:rPr>
                <w:rFonts w:ascii="仿宋_GB2312" w:eastAsia="仿宋_GB2312"/>
                <w:color w:val="auto"/>
                <w:sz w:val="18"/>
                <w:szCs w:val="18"/>
              </w:rPr>
            </w:pPr>
            <w:r>
              <w:rPr>
                <w:rFonts w:hint="eastAsia" w:ascii="仿宋_GB2312" w:hAnsi="宋体" w:eastAsia="仿宋_GB2312"/>
                <w:color w:val="auto"/>
                <w:sz w:val="18"/>
                <w:szCs w:val="18"/>
              </w:rPr>
              <w:t>技术人员</w:t>
            </w:r>
          </w:p>
        </w:tc>
        <w:tc>
          <w:tcPr>
            <w:tcW w:w="1151" w:type="dxa"/>
            <w:gridSpan w:val="3"/>
            <w:tcBorders>
              <w:top w:val="single" w:color="auto" w:sz="4" w:space="0"/>
              <w:left w:val="nil"/>
              <w:bottom w:val="single" w:color="auto" w:sz="4" w:space="0"/>
              <w:right w:val="single" w:color="auto" w:sz="4" w:space="0"/>
            </w:tcBorders>
            <w:vAlign w:val="center"/>
          </w:tcPr>
          <w:p>
            <w:pPr>
              <w:overflowPunct w:val="0"/>
              <w:topLinePunct/>
              <w:spacing w:line="280" w:lineRule="exact"/>
              <w:jc w:val="center"/>
              <w:rPr>
                <w:rFonts w:ascii="仿宋_GB2312" w:eastAsia="仿宋_GB2312"/>
                <w:color w:val="auto"/>
                <w:sz w:val="18"/>
                <w:szCs w:val="18"/>
              </w:rPr>
            </w:pPr>
            <w:r>
              <w:rPr>
                <w:rFonts w:hint="eastAsia" w:ascii="仿宋_GB2312" w:hAnsi="宋体" w:eastAsia="仿宋_GB2312"/>
                <w:color w:val="auto"/>
                <w:sz w:val="18"/>
                <w:szCs w:val="18"/>
              </w:rPr>
              <w:t>员工</w:t>
            </w:r>
          </w:p>
        </w:tc>
        <w:tc>
          <w:tcPr>
            <w:tcW w:w="1150" w:type="dxa"/>
            <w:gridSpan w:val="2"/>
            <w:tcBorders>
              <w:top w:val="single" w:color="auto" w:sz="4" w:space="0"/>
              <w:left w:val="nil"/>
              <w:bottom w:val="single" w:color="auto" w:sz="4" w:space="0"/>
              <w:right w:val="single" w:color="auto" w:sz="4" w:space="0"/>
            </w:tcBorders>
          </w:tcPr>
          <w:p>
            <w:pPr>
              <w:overflowPunct w:val="0"/>
              <w:topLinePunct/>
              <w:spacing w:line="280" w:lineRule="exact"/>
              <w:jc w:val="center"/>
              <w:rPr>
                <w:rFonts w:ascii="仿宋_GB2312" w:eastAsia="仿宋_GB2312"/>
                <w:color w:val="auto"/>
                <w:sz w:val="18"/>
                <w:szCs w:val="18"/>
              </w:rPr>
            </w:pPr>
            <w:r>
              <w:rPr>
                <w:rFonts w:hint="eastAsia" w:ascii="仿宋_GB2312" w:hAnsi="宋体" w:eastAsia="仿宋_GB2312"/>
                <w:color w:val="auto"/>
                <w:sz w:val="18"/>
                <w:szCs w:val="18"/>
              </w:rPr>
              <w:t>高级职称</w:t>
            </w:r>
          </w:p>
          <w:p>
            <w:pPr>
              <w:overflowPunct w:val="0"/>
              <w:topLinePunct/>
              <w:spacing w:line="280" w:lineRule="exact"/>
              <w:jc w:val="center"/>
              <w:rPr>
                <w:rFonts w:ascii="仿宋_GB2312" w:eastAsia="仿宋_GB2312"/>
                <w:color w:val="auto"/>
                <w:sz w:val="18"/>
                <w:szCs w:val="18"/>
              </w:rPr>
            </w:pPr>
            <w:r>
              <w:rPr>
                <w:rFonts w:hint="eastAsia" w:ascii="仿宋_GB2312" w:hAnsi="宋体" w:eastAsia="仿宋_GB2312"/>
                <w:color w:val="auto"/>
                <w:sz w:val="18"/>
                <w:szCs w:val="18"/>
              </w:rPr>
              <w:t>人数</w:t>
            </w:r>
          </w:p>
        </w:tc>
        <w:tc>
          <w:tcPr>
            <w:tcW w:w="1191" w:type="dxa"/>
            <w:gridSpan w:val="3"/>
            <w:tcBorders>
              <w:top w:val="single" w:color="auto" w:sz="4" w:space="0"/>
              <w:left w:val="nil"/>
              <w:bottom w:val="single" w:color="auto" w:sz="4" w:space="0"/>
              <w:right w:val="single" w:color="auto" w:sz="4" w:space="0"/>
            </w:tcBorders>
          </w:tcPr>
          <w:p>
            <w:pPr>
              <w:overflowPunct w:val="0"/>
              <w:topLinePunct/>
              <w:spacing w:line="280" w:lineRule="exact"/>
              <w:jc w:val="center"/>
              <w:rPr>
                <w:rFonts w:ascii="仿宋_GB2312" w:eastAsia="仿宋_GB2312"/>
                <w:color w:val="auto"/>
                <w:sz w:val="18"/>
                <w:szCs w:val="18"/>
              </w:rPr>
            </w:pPr>
            <w:r>
              <w:rPr>
                <w:rFonts w:hint="eastAsia" w:ascii="仿宋_GB2312" w:hAnsi="宋体" w:eastAsia="仿宋_GB2312"/>
                <w:color w:val="auto"/>
                <w:sz w:val="18"/>
                <w:szCs w:val="18"/>
              </w:rPr>
              <w:t>中级职称</w:t>
            </w:r>
          </w:p>
          <w:p>
            <w:pPr>
              <w:overflowPunct w:val="0"/>
              <w:topLinePunct/>
              <w:spacing w:line="280" w:lineRule="exact"/>
              <w:jc w:val="center"/>
              <w:rPr>
                <w:rFonts w:ascii="仿宋_GB2312" w:eastAsia="仿宋_GB2312"/>
                <w:color w:val="auto"/>
                <w:sz w:val="18"/>
                <w:szCs w:val="18"/>
              </w:rPr>
            </w:pPr>
            <w:r>
              <w:rPr>
                <w:rFonts w:hint="eastAsia" w:ascii="仿宋_GB2312" w:hAnsi="宋体" w:eastAsia="仿宋_GB2312"/>
                <w:color w:val="auto"/>
                <w:sz w:val="18"/>
                <w:szCs w:val="18"/>
              </w:rPr>
              <w:t>人数</w:t>
            </w:r>
          </w:p>
        </w:tc>
        <w:tc>
          <w:tcPr>
            <w:tcW w:w="1151" w:type="dxa"/>
            <w:tcBorders>
              <w:top w:val="single" w:color="auto" w:sz="4" w:space="0"/>
              <w:left w:val="nil"/>
              <w:bottom w:val="single" w:color="auto" w:sz="4" w:space="0"/>
              <w:right w:val="single" w:color="auto" w:sz="12" w:space="0"/>
            </w:tcBorders>
          </w:tcPr>
          <w:p>
            <w:pPr>
              <w:overflowPunct w:val="0"/>
              <w:topLinePunct/>
              <w:spacing w:line="280" w:lineRule="exact"/>
              <w:jc w:val="center"/>
              <w:rPr>
                <w:rFonts w:ascii="仿宋_GB2312" w:eastAsia="仿宋_GB2312"/>
                <w:color w:val="auto"/>
                <w:sz w:val="18"/>
                <w:szCs w:val="18"/>
              </w:rPr>
            </w:pPr>
            <w:r>
              <w:rPr>
                <w:rFonts w:hint="eastAsia" w:ascii="仿宋_GB2312" w:hAnsi="宋体" w:eastAsia="仿宋_GB2312"/>
                <w:color w:val="auto"/>
                <w:sz w:val="18"/>
                <w:szCs w:val="18"/>
              </w:rPr>
              <w:t>初级职称</w:t>
            </w:r>
          </w:p>
          <w:p>
            <w:pPr>
              <w:overflowPunct w:val="0"/>
              <w:topLinePunct/>
              <w:spacing w:line="280" w:lineRule="exact"/>
              <w:jc w:val="center"/>
              <w:rPr>
                <w:rFonts w:ascii="仿宋_GB2312" w:eastAsia="仿宋_GB2312"/>
                <w:color w:val="auto"/>
                <w:sz w:val="18"/>
                <w:szCs w:val="18"/>
              </w:rPr>
            </w:pPr>
            <w:r>
              <w:rPr>
                <w:rFonts w:hint="eastAsia" w:ascii="仿宋_GB2312" w:hAnsi="宋体" w:eastAsia="仿宋_GB2312"/>
                <w:color w:val="auto"/>
                <w:sz w:val="18"/>
                <w:szCs w:val="18"/>
              </w:rPr>
              <w:t>人数</w:t>
            </w:r>
          </w:p>
        </w:tc>
      </w:tr>
      <w:tr>
        <w:tblPrEx>
          <w:tblCellMar>
            <w:top w:w="0" w:type="dxa"/>
            <w:left w:w="0" w:type="dxa"/>
            <w:bottom w:w="0" w:type="dxa"/>
            <w:right w:w="0" w:type="dxa"/>
          </w:tblCellMar>
        </w:tblPrEx>
        <w:trPr>
          <w:cantSplit/>
          <w:trHeight w:val="477" w:hRule="atLeast"/>
        </w:trPr>
        <w:tc>
          <w:tcPr>
            <w:tcW w:w="1852" w:type="dxa"/>
            <w:vMerge w:val="continue"/>
            <w:tcBorders>
              <w:top w:val="single" w:color="auto" w:sz="4" w:space="0"/>
              <w:left w:val="single" w:color="auto" w:sz="12" w:space="0"/>
              <w:bottom w:val="single" w:color="auto" w:sz="12" w:space="0"/>
              <w:right w:val="single" w:color="auto" w:sz="4" w:space="0"/>
            </w:tcBorders>
            <w:tcMar>
              <w:top w:w="15" w:type="dxa"/>
              <w:left w:w="15" w:type="dxa"/>
              <w:bottom w:w="0" w:type="dxa"/>
              <w:right w:w="15" w:type="dxa"/>
            </w:tcMar>
            <w:vAlign w:val="center"/>
          </w:tcPr>
          <w:p>
            <w:pPr>
              <w:overflowPunct w:val="0"/>
              <w:topLinePunct/>
              <w:spacing w:line="440" w:lineRule="exact"/>
              <w:jc w:val="center"/>
              <w:rPr>
                <w:rFonts w:ascii="仿宋_GB2312" w:eastAsia="仿宋_GB2312" w:cs="Arial Unicode MS"/>
                <w:color w:val="auto"/>
                <w:sz w:val="24"/>
              </w:rPr>
            </w:pPr>
          </w:p>
        </w:tc>
        <w:tc>
          <w:tcPr>
            <w:tcW w:w="1150" w:type="dxa"/>
            <w:tcBorders>
              <w:top w:val="single" w:color="auto" w:sz="4" w:space="0"/>
              <w:left w:val="nil"/>
              <w:bottom w:val="single" w:color="auto" w:sz="12" w:space="0"/>
              <w:right w:val="single" w:color="auto" w:sz="4" w:space="0"/>
            </w:tcBorders>
            <w:tcMar>
              <w:top w:w="15" w:type="dxa"/>
              <w:left w:w="15" w:type="dxa"/>
              <w:bottom w:w="0" w:type="dxa"/>
              <w:right w:w="15" w:type="dxa"/>
            </w:tcMar>
          </w:tcPr>
          <w:p>
            <w:pPr>
              <w:overflowPunct w:val="0"/>
              <w:topLinePunct/>
              <w:spacing w:line="440" w:lineRule="exact"/>
              <w:jc w:val="center"/>
              <w:rPr>
                <w:rFonts w:ascii="仿宋_GB2312" w:eastAsia="仿宋_GB2312"/>
                <w:color w:val="auto"/>
                <w:sz w:val="24"/>
                <w:szCs w:val="21"/>
              </w:rPr>
            </w:pPr>
          </w:p>
        </w:tc>
        <w:tc>
          <w:tcPr>
            <w:tcW w:w="1151" w:type="dxa"/>
            <w:gridSpan w:val="2"/>
            <w:tcBorders>
              <w:top w:val="single" w:color="auto" w:sz="4" w:space="0"/>
              <w:left w:val="nil"/>
              <w:bottom w:val="single" w:color="auto" w:sz="12" w:space="0"/>
              <w:right w:val="single" w:color="auto" w:sz="4" w:space="0"/>
            </w:tcBorders>
          </w:tcPr>
          <w:p>
            <w:pPr>
              <w:overflowPunct w:val="0"/>
              <w:topLinePunct/>
              <w:spacing w:line="440" w:lineRule="exact"/>
              <w:jc w:val="center"/>
              <w:rPr>
                <w:rFonts w:ascii="仿宋_GB2312" w:eastAsia="仿宋_GB2312"/>
                <w:color w:val="auto"/>
                <w:sz w:val="24"/>
                <w:szCs w:val="21"/>
              </w:rPr>
            </w:pPr>
          </w:p>
        </w:tc>
        <w:tc>
          <w:tcPr>
            <w:tcW w:w="1150" w:type="dxa"/>
            <w:gridSpan w:val="2"/>
            <w:tcBorders>
              <w:top w:val="single" w:color="auto" w:sz="4" w:space="0"/>
              <w:left w:val="nil"/>
              <w:bottom w:val="single" w:color="auto" w:sz="12" w:space="0"/>
              <w:right w:val="single" w:color="auto" w:sz="4" w:space="0"/>
            </w:tcBorders>
          </w:tcPr>
          <w:p>
            <w:pPr>
              <w:overflowPunct w:val="0"/>
              <w:topLinePunct/>
              <w:spacing w:line="440" w:lineRule="exact"/>
              <w:jc w:val="center"/>
              <w:rPr>
                <w:rFonts w:ascii="仿宋_GB2312" w:eastAsia="仿宋_GB2312"/>
                <w:color w:val="auto"/>
                <w:sz w:val="24"/>
                <w:szCs w:val="21"/>
              </w:rPr>
            </w:pPr>
          </w:p>
        </w:tc>
        <w:tc>
          <w:tcPr>
            <w:tcW w:w="1151" w:type="dxa"/>
            <w:gridSpan w:val="3"/>
            <w:tcBorders>
              <w:top w:val="single" w:color="auto" w:sz="4" w:space="0"/>
              <w:left w:val="nil"/>
              <w:bottom w:val="single" w:color="auto" w:sz="12" w:space="0"/>
              <w:right w:val="single" w:color="auto" w:sz="4" w:space="0"/>
            </w:tcBorders>
          </w:tcPr>
          <w:p>
            <w:pPr>
              <w:overflowPunct w:val="0"/>
              <w:topLinePunct/>
              <w:spacing w:line="440" w:lineRule="exact"/>
              <w:jc w:val="center"/>
              <w:rPr>
                <w:rFonts w:ascii="仿宋_GB2312" w:eastAsia="仿宋_GB2312"/>
                <w:color w:val="auto"/>
                <w:sz w:val="24"/>
                <w:szCs w:val="21"/>
              </w:rPr>
            </w:pPr>
          </w:p>
        </w:tc>
        <w:tc>
          <w:tcPr>
            <w:tcW w:w="1150" w:type="dxa"/>
            <w:gridSpan w:val="2"/>
            <w:tcBorders>
              <w:top w:val="single" w:color="auto" w:sz="4" w:space="0"/>
              <w:left w:val="nil"/>
              <w:bottom w:val="single" w:color="auto" w:sz="12" w:space="0"/>
              <w:right w:val="single" w:color="auto" w:sz="4" w:space="0"/>
            </w:tcBorders>
          </w:tcPr>
          <w:p>
            <w:pPr>
              <w:overflowPunct w:val="0"/>
              <w:topLinePunct/>
              <w:spacing w:line="440" w:lineRule="exact"/>
              <w:jc w:val="center"/>
              <w:rPr>
                <w:rFonts w:ascii="仿宋_GB2312" w:eastAsia="仿宋_GB2312"/>
                <w:color w:val="auto"/>
                <w:sz w:val="24"/>
                <w:szCs w:val="21"/>
              </w:rPr>
            </w:pPr>
          </w:p>
        </w:tc>
        <w:tc>
          <w:tcPr>
            <w:tcW w:w="1191" w:type="dxa"/>
            <w:gridSpan w:val="3"/>
            <w:tcBorders>
              <w:top w:val="single" w:color="auto" w:sz="4" w:space="0"/>
              <w:left w:val="nil"/>
              <w:bottom w:val="single" w:color="auto" w:sz="12" w:space="0"/>
              <w:right w:val="single" w:color="auto" w:sz="4" w:space="0"/>
            </w:tcBorders>
          </w:tcPr>
          <w:p>
            <w:pPr>
              <w:overflowPunct w:val="0"/>
              <w:topLinePunct/>
              <w:spacing w:line="440" w:lineRule="exact"/>
              <w:jc w:val="center"/>
              <w:rPr>
                <w:rFonts w:ascii="仿宋_GB2312" w:eastAsia="仿宋_GB2312"/>
                <w:color w:val="auto"/>
                <w:sz w:val="24"/>
                <w:szCs w:val="21"/>
              </w:rPr>
            </w:pPr>
          </w:p>
        </w:tc>
        <w:tc>
          <w:tcPr>
            <w:tcW w:w="1151" w:type="dxa"/>
            <w:tcBorders>
              <w:top w:val="single" w:color="auto" w:sz="4" w:space="0"/>
              <w:left w:val="nil"/>
              <w:bottom w:val="single" w:color="auto" w:sz="12" w:space="0"/>
              <w:right w:val="single" w:color="auto" w:sz="12" w:space="0"/>
            </w:tcBorders>
          </w:tcPr>
          <w:p>
            <w:pPr>
              <w:overflowPunct w:val="0"/>
              <w:topLinePunct/>
              <w:spacing w:line="440" w:lineRule="exact"/>
              <w:jc w:val="center"/>
              <w:rPr>
                <w:rFonts w:ascii="仿宋_GB2312" w:eastAsia="仿宋_GB2312"/>
                <w:color w:val="auto"/>
                <w:sz w:val="24"/>
                <w:szCs w:val="21"/>
              </w:rPr>
            </w:pPr>
          </w:p>
        </w:tc>
      </w:tr>
    </w:tbl>
    <w:p>
      <w:pPr>
        <w:widowControl/>
        <w:spacing w:beforeLines="50" w:line="460" w:lineRule="exact"/>
        <w:ind w:firstLine="840" w:firstLineChars="350"/>
        <w:rPr>
          <w:rFonts w:ascii="仿宋_GB2312" w:hAnsi="宋体" w:eastAsia="仿宋_GB2312" w:cs="宋体"/>
          <w:color w:val="auto"/>
          <w:kern w:val="0"/>
          <w:sz w:val="24"/>
          <w:u w:val="single"/>
        </w:rPr>
      </w:pPr>
      <w:r>
        <w:rPr>
          <w:rFonts w:hint="eastAsia" w:ascii="仿宋_GB2312" w:hAnsi="宋体" w:eastAsia="仿宋_GB2312" w:cs="宋体"/>
          <w:color w:val="auto"/>
          <w:kern w:val="0"/>
          <w:sz w:val="24"/>
        </w:rPr>
        <w:t xml:space="preserve">法定代表人或其委托代理人： </w:t>
      </w:r>
      <w:r>
        <w:rPr>
          <w:rFonts w:hint="eastAsia" w:ascii="仿宋_GB2312" w:hAnsi="宋体" w:eastAsia="仿宋_GB2312" w:cs="宋体"/>
          <w:color w:val="auto"/>
          <w:kern w:val="0"/>
          <w:sz w:val="24"/>
          <w:u w:val="single"/>
        </w:rPr>
        <w:t xml:space="preserve">                </w:t>
      </w:r>
      <w:r>
        <w:rPr>
          <w:rFonts w:hint="eastAsia" w:ascii="仿宋_GB2312" w:hAnsi="宋体" w:eastAsia="仿宋_GB2312" w:cs="宋体"/>
          <w:color w:val="auto"/>
          <w:kern w:val="0"/>
          <w:sz w:val="24"/>
        </w:rPr>
        <w:t>（签字或盖章）</w:t>
      </w:r>
    </w:p>
    <w:p>
      <w:pPr>
        <w:widowControl/>
        <w:snapToGrid w:val="0"/>
        <w:spacing w:line="440" w:lineRule="exact"/>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xml:space="preserve">   投标人：</w:t>
      </w:r>
      <w:r>
        <w:rPr>
          <w:rFonts w:hint="eastAsia" w:ascii="仿宋_GB2312" w:hAnsi="宋体" w:eastAsia="仿宋_GB2312" w:cs="宋体"/>
          <w:color w:val="auto"/>
          <w:kern w:val="0"/>
          <w:sz w:val="24"/>
          <w:u w:val="single"/>
        </w:rPr>
        <w:t xml:space="preserve">                                           </w:t>
      </w:r>
      <w:r>
        <w:rPr>
          <w:rFonts w:hint="eastAsia" w:ascii="仿宋_GB2312" w:hAnsi="宋体" w:eastAsia="仿宋_GB2312" w:cs="宋体"/>
          <w:color w:val="auto"/>
          <w:kern w:val="0"/>
          <w:sz w:val="24"/>
        </w:rPr>
        <w:t>（公章）</w:t>
      </w:r>
    </w:p>
    <w:p>
      <w:pPr>
        <w:spacing w:line="400" w:lineRule="exact"/>
        <w:rPr>
          <w:rFonts w:ascii="仿宋_GB2312" w:hAnsi="宋体" w:eastAsia="仿宋_GB2312"/>
          <w:color w:val="auto"/>
          <w:sz w:val="24"/>
        </w:rPr>
      </w:pPr>
      <w:r>
        <w:rPr>
          <w:rFonts w:hint="eastAsia" w:ascii="仿宋_GB2312" w:hAnsi="宋体" w:eastAsia="仿宋_GB2312"/>
          <w:color w:val="auto"/>
          <w:sz w:val="24"/>
        </w:rPr>
        <w:t xml:space="preserve">                                       </w:t>
      </w:r>
      <w:r>
        <w:rPr>
          <w:rFonts w:hint="eastAsia" w:ascii="仿宋_GB2312" w:hAnsi="宋体" w:eastAsia="仿宋_GB2312" w:cs="宋体"/>
          <w:color w:val="auto"/>
          <w:kern w:val="0"/>
          <w:sz w:val="24"/>
          <w:u w:val="single"/>
        </w:rPr>
        <w:t xml:space="preserve">    </w:t>
      </w:r>
      <w:r>
        <w:rPr>
          <w:rFonts w:hint="eastAsia" w:ascii="仿宋_GB2312" w:hAnsi="宋体" w:eastAsia="仿宋_GB2312" w:cs="宋体"/>
          <w:color w:val="auto"/>
          <w:kern w:val="0"/>
          <w:sz w:val="24"/>
        </w:rPr>
        <w:t xml:space="preserve">年 </w:t>
      </w:r>
      <w:r>
        <w:rPr>
          <w:rFonts w:hint="eastAsia" w:ascii="仿宋_GB2312" w:hAnsi="宋体" w:eastAsia="仿宋_GB2312" w:cs="宋体"/>
          <w:color w:val="auto"/>
          <w:kern w:val="0"/>
          <w:sz w:val="24"/>
          <w:u w:val="single"/>
        </w:rPr>
        <w:t xml:space="preserve">   </w:t>
      </w:r>
      <w:r>
        <w:rPr>
          <w:rFonts w:hint="eastAsia" w:ascii="仿宋_GB2312" w:hAnsi="宋体" w:eastAsia="仿宋_GB2312" w:cs="宋体"/>
          <w:color w:val="auto"/>
          <w:kern w:val="0"/>
          <w:sz w:val="24"/>
        </w:rPr>
        <w:t xml:space="preserve">月 </w:t>
      </w:r>
      <w:r>
        <w:rPr>
          <w:rFonts w:hint="eastAsia" w:ascii="仿宋_GB2312" w:hAnsi="宋体" w:eastAsia="仿宋_GB2312" w:cs="宋体"/>
          <w:color w:val="auto"/>
          <w:kern w:val="0"/>
          <w:sz w:val="24"/>
          <w:u w:val="single"/>
        </w:rPr>
        <w:t xml:space="preserve">   </w:t>
      </w:r>
      <w:r>
        <w:rPr>
          <w:rFonts w:hint="eastAsia" w:ascii="仿宋_GB2312" w:hAnsi="宋体" w:eastAsia="仿宋_GB2312" w:cs="宋体"/>
          <w:color w:val="auto"/>
          <w:kern w:val="0"/>
          <w:sz w:val="24"/>
        </w:rPr>
        <w:t>日</w:t>
      </w:r>
      <w:r>
        <w:rPr>
          <w:rFonts w:hint="eastAsia" w:ascii="仿宋_GB2312" w:hAnsi="宋体" w:eastAsia="仿宋_GB2312"/>
          <w:color w:val="auto"/>
          <w:sz w:val="24"/>
        </w:rPr>
        <w:t xml:space="preserve"> </w:t>
      </w:r>
    </w:p>
    <w:p>
      <w:pPr>
        <w:pStyle w:val="2"/>
        <w:rPr>
          <w:color w:val="auto"/>
        </w:rPr>
      </w:pPr>
    </w:p>
    <w:p>
      <w:pPr>
        <w:pStyle w:val="16"/>
        <w:spacing w:beforeLines="100" w:after="0" w:line="360" w:lineRule="auto"/>
        <w:jc w:val="center"/>
        <w:rPr>
          <w:rFonts w:ascii="黑体" w:hAnsi="宋体" w:eastAsia="黑体"/>
          <w:color w:val="auto"/>
          <w:sz w:val="36"/>
          <w:szCs w:val="36"/>
        </w:rPr>
      </w:pPr>
      <w:r>
        <w:rPr>
          <w:rFonts w:hint="eastAsia" w:ascii="黑体" w:hAnsi="宋体" w:eastAsia="黑体"/>
          <w:color w:val="auto"/>
          <w:sz w:val="36"/>
          <w:szCs w:val="36"/>
        </w:rPr>
        <w:t>2、法定代表人身份证明</w:t>
      </w:r>
    </w:p>
    <w:p>
      <w:pPr>
        <w:widowControl/>
        <w:wordWrap w:val="0"/>
        <w:spacing w:line="460" w:lineRule="exact"/>
        <w:jc w:val="left"/>
        <w:rPr>
          <w:rFonts w:ascii="仿宋_GB2312" w:hAnsi="宋体" w:eastAsia="仿宋_GB2312" w:cs="宋体"/>
          <w:color w:val="auto"/>
          <w:kern w:val="0"/>
          <w:sz w:val="22"/>
          <w:szCs w:val="22"/>
        </w:rPr>
      </w:pPr>
    </w:p>
    <w:p>
      <w:pPr>
        <w:widowControl/>
        <w:wordWrap w:val="0"/>
        <w:spacing w:line="600" w:lineRule="exact"/>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投标人名称：</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 xml:space="preserve">  </w:t>
      </w:r>
    </w:p>
    <w:p>
      <w:pPr>
        <w:widowControl/>
        <w:wordWrap w:val="0"/>
        <w:spacing w:line="600" w:lineRule="exact"/>
        <w:ind w:firstLine="560" w:firstLineChars="200"/>
        <w:jc w:val="left"/>
        <w:rPr>
          <w:rFonts w:ascii="仿宋_GB2312" w:hAnsi="宋体" w:eastAsia="仿宋_GB2312" w:cs="宋体"/>
          <w:color w:val="auto"/>
          <w:kern w:val="0"/>
          <w:sz w:val="28"/>
          <w:szCs w:val="28"/>
          <w:u w:val="single"/>
        </w:rPr>
      </w:pPr>
      <w:r>
        <w:rPr>
          <w:rFonts w:hint="eastAsia" w:ascii="仿宋_GB2312" w:hAnsi="宋体" w:eastAsia="仿宋_GB2312" w:cs="宋体"/>
          <w:color w:val="auto"/>
          <w:kern w:val="0"/>
          <w:sz w:val="28"/>
          <w:szCs w:val="28"/>
        </w:rPr>
        <w:t>地址：</w:t>
      </w:r>
      <w:r>
        <w:rPr>
          <w:rFonts w:hint="eastAsia" w:ascii="仿宋_GB2312" w:hAnsi="宋体" w:eastAsia="仿宋_GB2312" w:cs="宋体"/>
          <w:color w:val="auto"/>
          <w:kern w:val="0"/>
          <w:sz w:val="28"/>
          <w:szCs w:val="28"/>
          <w:u w:val="single"/>
        </w:rPr>
        <w:t xml:space="preserve">                                    </w:t>
      </w:r>
    </w:p>
    <w:p>
      <w:pPr>
        <w:widowControl/>
        <w:wordWrap w:val="0"/>
        <w:spacing w:line="600" w:lineRule="exact"/>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成立时间：</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月</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日</w:t>
      </w:r>
    </w:p>
    <w:p>
      <w:pPr>
        <w:widowControl/>
        <w:wordWrap w:val="0"/>
        <w:spacing w:line="600" w:lineRule="exact"/>
        <w:ind w:firstLine="560" w:firstLineChars="200"/>
        <w:jc w:val="left"/>
        <w:rPr>
          <w:rFonts w:ascii="仿宋_GB2312" w:hAnsi="宋体" w:eastAsia="仿宋_GB2312" w:cs="宋体"/>
          <w:color w:val="auto"/>
          <w:kern w:val="0"/>
          <w:sz w:val="28"/>
          <w:szCs w:val="28"/>
          <w:u w:val="single"/>
        </w:rPr>
      </w:pPr>
      <w:r>
        <w:rPr>
          <w:rFonts w:hint="eastAsia" w:ascii="仿宋_GB2312" w:hAnsi="宋体" w:eastAsia="仿宋_GB2312" w:cs="宋体"/>
          <w:color w:val="auto"/>
          <w:kern w:val="0"/>
          <w:sz w:val="28"/>
          <w:szCs w:val="28"/>
        </w:rPr>
        <w:t>经营期限：</w:t>
      </w:r>
      <w:r>
        <w:rPr>
          <w:rFonts w:hint="eastAsia" w:ascii="仿宋_GB2312" w:hAnsi="宋体" w:eastAsia="仿宋_GB2312" w:cs="宋体"/>
          <w:color w:val="auto"/>
          <w:kern w:val="0"/>
          <w:sz w:val="28"/>
          <w:szCs w:val="28"/>
          <w:u w:val="single"/>
        </w:rPr>
        <w:t xml:space="preserve">                  </w:t>
      </w:r>
    </w:p>
    <w:p>
      <w:pPr>
        <w:widowControl/>
        <w:wordWrap w:val="0"/>
        <w:spacing w:line="600" w:lineRule="exact"/>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姓名：</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，性别：</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，年龄：</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，职务：</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系</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 xml:space="preserve"> （投标人名称）的法定代表人。</w:t>
      </w:r>
    </w:p>
    <w:p>
      <w:pPr>
        <w:widowControl/>
        <w:wordWrap w:val="0"/>
        <w:spacing w:line="600" w:lineRule="exact"/>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特此证明。</w:t>
      </w:r>
    </w:p>
    <w:tbl>
      <w:tblPr>
        <w:tblStyle w:val="24"/>
        <w:tblpPr w:leftFromText="180" w:rightFromText="180" w:topFromText="100" w:bottomFromText="100" w:vertAnchor="text" w:horzAnchor="margin" w:tblpY="36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9476"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仿宋_GB2312" w:hAnsi="宋体" w:eastAsia="仿宋_GB2312" w:cs="Lucida Sans Unicode"/>
                <w:bCs/>
                <w:color w:val="auto"/>
                <w:kern w:val="0"/>
                <w:sz w:val="28"/>
                <w:szCs w:val="28"/>
              </w:rPr>
            </w:pPr>
            <w:r>
              <w:rPr>
                <w:rFonts w:hint="eastAsia" w:ascii="仿宋_GB2312" w:hAnsi="宋体" w:eastAsia="仿宋_GB2312" w:cs="Lucida Sans Unicode"/>
                <w:bCs/>
                <w:color w:val="auto"/>
                <w:kern w:val="0"/>
                <w:sz w:val="28"/>
                <w:szCs w:val="28"/>
              </w:rPr>
              <w:t>此处请粘贴法定代表人有效身份证复印件（正背两面复印）</w:t>
            </w:r>
          </w:p>
          <w:p>
            <w:pPr>
              <w:widowControl/>
              <w:spacing w:line="480" w:lineRule="exact"/>
              <w:jc w:val="left"/>
              <w:rPr>
                <w:rFonts w:ascii="仿宋_GB2312" w:hAnsi="宋体" w:eastAsia="仿宋_GB2312" w:cs="Lucida Sans Unicode"/>
                <w:color w:val="auto"/>
                <w:kern w:val="0"/>
                <w:sz w:val="28"/>
                <w:szCs w:val="28"/>
              </w:rPr>
            </w:pPr>
          </w:p>
          <w:p>
            <w:pPr>
              <w:widowControl/>
              <w:spacing w:line="480" w:lineRule="exact"/>
              <w:jc w:val="left"/>
              <w:rPr>
                <w:rFonts w:ascii="仿宋_GB2312" w:hAnsi="宋体" w:eastAsia="仿宋_GB2312" w:cs="Lucida Sans Unicode"/>
                <w:color w:val="auto"/>
                <w:kern w:val="0"/>
                <w:sz w:val="28"/>
                <w:szCs w:val="28"/>
              </w:rPr>
            </w:pPr>
          </w:p>
        </w:tc>
      </w:tr>
    </w:tbl>
    <w:p>
      <w:pPr>
        <w:widowControl/>
        <w:wordWrap w:val="0"/>
        <w:spacing w:line="460" w:lineRule="exact"/>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w:t>
      </w:r>
    </w:p>
    <w:p>
      <w:pPr>
        <w:widowControl/>
        <w:wordWrap w:val="0"/>
        <w:spacing w:line="460" w:lineRule="exact"/>
        <w:jc w:val="left"/>
        <w:rPr>
          <w:rFonts w:ascii="仿宋_GB2312" w:hAnsi="宋体" w:eastAsia="仿宋_GB2312" w:cs="宋体"/>
          <w:color w:val="auto"/>
          <w:kern w:val="0"/>
          <w:sz w:val="28"/>
          <w:szCs w:val="28"/>
        </w:rPr>
      </w:pPr>
    </w:p>
    <w:p>
      <w:pPr>
        <w:widowControl/>
        <w:wordWrap w:val="0"/>
        <w:spacing w:line="460" w:lineRule="exact"/>
        <w:jc w:val="left"/>
        <w:rPr>
          <w:rFonts w:ascii="仿宋_GB2312" w:hAnsi="宋体" w:eastAsia="仿宋_GB2312" w:cs="宋体"/>
          <w:color w:val="auto"/>
          <w:kern w:val="0"/>
          <w:sz w:val="28"/>
          <w:szCs w:val="28"/>
        </w:rPr>
      </w:pPr>
    </w:p>
    <w:p>
      <w:pPr>
        <w:widowControl/>
        <w:wordWrap w:val="0"/>
        <w:snapToGrid w:val="0"/>
        <w:spacing w:line="460" w:lineRule="exact"/>
        <w:ind w:firstLine="3220" w:firstLineChars="115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投标人：</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（公章）</w:t>
      </w:r>
    </w:p>
    <w:p>
      <w:pPr>
        <w:widowControl/>
        <w:wordWrap w:val="0"/>
        <w:spacing w:line="460" w:lineRule="exact"/>
        <w:ind w:left="3780" w:leftChars="1800"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 xml:space="preserve">年 </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 xml:space="preserve">月 </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日</w:t>
      </w:r>
    </w:p>
    <w:p>
      <w:pPr>
        <w:pStyle w:val="2"/>
        <w:rPr>
          <w:color w:val="auto"/>
        </w:rPr>
      </w:pPr>
    </w:p>
    <w:p>
      <w:pPr>
        <w:rPr>
          <w:color w:val="auto"/>
        </w:rPr>
      </w:pPr>
    </w:p>
    <w:p>
      <w:pPr>
        <w:widowControl/>
        <w:wordWrap w:val="0"/>
        <w:spacing w:line="460" w:lineRule="exact"/>
        <w:ind w:left="3780" w:leftChars="1800" w:firstLine="560" w:firstLineChars="200"/>
        <w:jc w:val="left"/>
        <w:rPr>
          <w:rFonts w:ascii="仿宋_GB2312" w:hAnsi="宋体" w:eastAsia="仿宋_GB2312" w:cs="宋体"/>
          <w:color w:val="auto"/>
          <w:kern w:val="0"/>
          <w:sz w:val="28"/>
          <w:szCs w:val="28"/>
        </w:rPr>
      </w:pPr>
    </w:p>
    <w:p>
      <w:pPr>
        <w:tabs>
          <w:tab w:val="left" w:pos="720"/>
        </w:tabs>
        <w:spacing w:line="360" w:lineRule="auto"/>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注：本“法定代表人身份证明”仅由法定代表人参加投标提供，若为委托代理人参加投标请提供“法定代表人授权委托书”，无须再提供“法定代表人身份证明”。</w:t>
      </w: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pStyle w:val="16"/>
        <w:spacing w:beforeLines="100" w:after="0" w:line="360" w:lineRule="auto"/>
        <w:jc w:val="center"/>
        <w:rPr>
          <w:rFonts w:ascii="黑体" w:hAnsi="宋体" w:eastAsia="黑体"/>
          <w:color w:val="auto"/>
          <w:sz w:val="36"/>
          <w:szCs w:val="36"/>
        </w:rPr>
      </w:pPr>
      <w:r>
        <w:rPr>
          <w:rFonts w:hint="eastAsia" w:ascii="黑体" w:hAnsi="宋体" w:eastAsia="黑体"/>
          <w:color w:val="auto"/>
          <w:sz w:val="36"/>
          <w:szCs w:val="36"/>
        </w:rPr>
        <w:t>3、法定代表人授权委托书</w:t>
      </w:r>
    </w:p>
    <w:p>
      <w:pPr>
        <w:widowControl/>
        <w:wordWrap w:val="0"/>
        <w:snapToGrid w:val="0"/>
        <w:spacing w:line="540" w:lineRule="exact"/>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我</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（姓名）系</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 xml:space="preserve">（投标人名称）的法定代表人，现委托 </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（姓名）为我方代理人。代理人根据本授权，以我方的名义参加</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项目（项目编号：</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）的采购活动，并代表我方全权办理针对上述项目的所有具体事务和签署相关文件。</w:t>
      </w:r>
    </w:p>
    <w:p>
      <w:pPr>
        <w:widowControl/>
        <w:wordWrap w:val="0"/>
        <w:snapToGrid w:val="0"/>
        <w:spacing w:line="540" w:lineRule="exact"/>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我方对代理人的签名负全部责任。在撤销授权的书面通知以前，本授权书一直有效。代理人在授权书有效期内签署的所有文件不因授权的撤销而失效。</w:t>
      </w:r>
    </w:p>
    <w:p>
      <w:pPr>
        <w:widowControl/>
        <w:wordWrap w:val="0"/>
        <w:snapToGrid w:val="0"/>
        <w:spacing w:line="540" w:lineRule="exact"/>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代理人无转委托权。</w:t>
      </w:r>
    </w:p>
    <w:p>
      <w:pPr>
        <w:widowControl/>
        <w:wordWrap w:val="0"/>
        <w:snapToGrid w:val="0"/>
        <w:spacing w:line="540" w:lineRule="exact"/>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委托期限：自投标文件递交截止之日起90日历天 </w:t>
      </w:r>
    </w:p>
    <w:p>
      <w:pPr>
        <w:widowControl/>
        <w:wordWrap w:val="0"/>
        <w:snapToGrid w:val="0"/>
        <w:spacing w:line="540" w:lineRule="exact"/>
        <w:ind w:firstLine="560" w:firstLineChars="200"/>
        <w:jc w:val="left"/>
        <w:rPr>
          <w:rFonts w:ascii="仿宋_GB2312" w:hAnsi="宋体" w:eastAsia="仿宋_GB2312" w:cs="宋体"/>
          <w:color w:val="auto"/>
          <w:kern w:val="0"/>
          <w:sz w:val="28"/>
          <w:szCs w:val="28"/>
          <w:u w:val="single"/>
        </w:rPr>
      </w:pPr>
      <w:r>
        <w:rPr>
          <w:rFonts w:hint="eastAsia" w:ascii="仿宋_GB2312" w:hAnsi="宋体" w:eastAsia="仿宋_GB2312" w:cs="宋体"/>
          <w:color w:val="auto"/>
          <w:kern w:val="0"/>
          <w:sz w:val="28"/>
          <w:szCs w:val="28"/>
        </w:rPr>
        <w:t>委托代理人（签字或盖章）：</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法定代表人（签字或盖章）：</w:t>
      </w:r>
      <w:r>
        <w:rPr>
          <w:rFonts w:hint="eastAsia" w:ascii="仿宋_GB2312" w:hAnsi="宋体" w:eastAsia="仿宋_GB2312" w:cs="宋体"/>
          <w:color w:val="auto"/>
          <w:kern w:val="0"/>
          <w:sz w:val="28"/>
          <w:szCs w:val="28"/>
          <w:u w:val="single"/>
        </w:rPr>
        <w:t xml:space="preserve">        </w:t>
      </w:r>
    </w:p>
    <w:p>
      <w:pPr>
        <w:widowControl/>
        <w:wordWrap w:val="0"/>
        <w:snapToGrid w:val="0"/>
        <w:spacing w:line="540" w:lineRule="exact"/>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职   务：</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 xml:space="preserve">     职    务：</w:t>
      </w:r>
      <w:r>
        <w:rPr>
          <w:rFonts w:hint="eastAsia" w:ascii="仿宋_GB2312" w:hAnsi="宋体" w:eastAsia="仿宋_GB2312" w:cs="宋体"/>
          <w:color w:val="auto"/>
          <w:kern w:val="0"/>
          <w:sz w:val="28"/>
          <w:szCs w:val="28"/>
          <w:u w:val="single"/>
        </w:rPr>
        <w:t xml:space="preserve">                        </w:t>
      </w:r>
    </w:p>
    <w:p>
      <w:pPr>
        <w:widowControl/>
        <w:wordWrap w:val="0"/>
        <w:snapToGrid w:val="0"/>
        <w:spacing w:line="540" w:lineRule="exact"/>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法定代表人身份证号码：</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 xml:space="preserve"> </w:t>
      </w:r>
    </w:p>
    <w:p>
      <w:pPr>
        <w:widowControl/>
        <w:wordWrap w:val="0"/>
        <w:snapToGrid w:val="0"/>
        <w:spacing w:line="540" w:lineRule="exact"/>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委托代理人身份证号码：</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 xml:space="preserve">  </w:t>
      </w:r>
    </w:p>
    <w:p>
      <w:pPr>
        <w:widowControl/>
        <w:wordWrap w:val="0"/>
        <w:snapToGrid w:val="0"/>
        <w:spacing w:line="540" w:lineRule="exact"/>
        <w:ind w:firstLine="560" w:firstLineChars="200"/>
        <w:jc w:val="left"/>
        <w:rPr>
          <w:rFonts w:ascii="仿宋_GB2312" w:hAnsi="宋体" w:eastAsia="仿宋_GB2312" w:cs="宋体"/>
          <w:color w:val="auto"/>
          <w:kern w:val="0"/>
          <w:sz w:val="28"/>
          <w:szCs w:val="28"/>
        </w:rPr>
      </w:pPr>
      <w:r>
        <w:rPr>
          <w:rFonts w:ascii="仿宋_GB2312" w:hAnsi="宋体" w:eastAsia="仿宋_GB2312" w:cs="宋体"/>
          <w:color w:val="auto"/>
          <w:kern w:val="0"/>
          <w:sz w:val="28"/>
          <w:szCs w:val="28"/>
        </w:rPr>
        <w:t>附</w:t>
      </w:r>
      <w:r>
        <w:rPr>
          <w:rFonts w:hint="eastAsia" w:ascii="仿宋_GB2312" w:hAnsi="宋体" w:eastAsia="仿宋_GB2312" w:cs="宋体"/>
          <w:color w:val="auto"/>
          <w:kern w:val="0"/>
          <w:sz w:val="28"/>
          <w:szCs w:val="28"/>
        </w:rPr>
        <w:t>：法定代表人身份证复印件、委托代理人身份证复印件、委托代理人身份声明函或其劳动合同或委托代理人社保参保缴费情况证明。</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3"/>
        <w:gridCol w:w="4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523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0" w:firstLineChars="200"/>
              <w:jc w:val="center"/>
              <w:rPr>
                <w:rFonts w:ascii="仿宋_GB2312" w:hAnsi="宋体" w:eastAsia="仿宋_GB2312"/>
                <w:color w:val="auto"/>
                <w:sz w:val="28"/>
                <w:szCs w:val="28"/>
              </w:rPr>
            </w:pPr>
            <w:r>
              <w:rPr>
                <w:rFonts w:hint="eastAsia" w:ascii="仿宋_GB2312" w:hAnsi="宋体" w:eastAsia="仿宋_GB2312"/>
                <w:color w:val="auto"/>
                <w:sz w:val="28"/>
                <w:szCs w:val="28"/>
              </w:rPr>
              <w:t>法定代表人身份证复印件</w:t>
            </w:r>
          </w:p>
          <w:p>
            <w:pPr>
              <w:spacing w:line="400" w:lineRule="exact"/>
              <w:ind w:firstLine="560" w:firstLineChars="200"/>
              <w:jc w:val="center"/>
              <w:rPr>
                <w:rFonts w:ascii="仿宋_GB2312" w:hAnsi="宋体" w:eastAsia="仿宋_GB2312"/>
                <w:color w:val="auto"/>
                <w:sz w:val="28"/>
                <w:szCs w:val="28"/>
              </w:rPr>
            </w:pPr>
            <w:r>
              <w:rPr>
                <w:rFonts w:hint="eastAsia" w:ascii="仿宋_GB2312" w:hAnsi="宋体" w:eastAsia="仿宋_GB2312"/>
                <w:color w:val="auto"/>
                <w:sz w:val="28"/>
                <w:szCs w:val="28"/>
              </w:rPr>
              <w:t>（正面粘贴处）</w:t>
            </w:r>
          </w:p>
        </w:tc>
        <w:tc>
          <w:tcPr>
            <w:tcW w:w="455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0" w:firstLineChars="200"/>
              <w:jc w:val="center"/>
              <w:rPr>
                <w:rFonts w:ascii="仿宋_GB2312" w:hAnsi="宋体" w:eastAsia="仿宋_GB2312"/>
                <w:color w:val="auto"/>
                <w:sz w:val="28"/>
                <w:szCs w:val="28"/>
              </w:rPr>
            </w:pPr>
            <w:r>
              <w:rPr>
                <w:rFonts w:hint="eastAsia" w:ascii="仿宋_GB2312" w:hAnsi="宋体" w:eastAsia="仿宋_GB2312"/>
                <w:color w:val="auto"/>
                <w:sz w:val="28"/>
                <w:szCs w:val="28"/>
              </w:rPr>
              <w:t>代理人身份证复印件</w:t>
            </w:r>
          </w:p>
          <w:p>
            <w:pPr>
              <w:spacing w:line="400" w:lineRule="exact"/>
              <w:ind w:firstLine="560" w:firstLineChars="200"/>
              <w:jc w:val="center"/>
              <w:rPr>
                <w:rFonts w:ascii="仿宋_GB2312" w:hAnsi="宋体" w:eastAsia="仿宋_GB2312"/>
                <w:color w:val="auto"/>
                <w:sz w:val="28"/>
                <w:szCs w:val="28"/>
              </w:rPr>
            </w:pPr>
            <w:r>
              <w:rPr>
                <w:rFonts w:hint="eastAsia" w:ascii="仿宋_GB2312" w:hAnsi="宋体" w:eastAsia="仿宋_GB2312"/>
                <w:color w:val="auto"/>
                <w:sz w:val="28"/>
                <w:szCs w:val="28"/>
              </w:rPr>
              <w:t>（正面粘贴处）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5233" w:type="dxa"/>
            <w:vAlign w:val="center"/>
          </w:tcPr>
          <w:p>
            <w:pPr>
              <w:spacing w:line="400" w:lineRule="exact"/>
              <w:ind w:firstLine="560" w:firstLineChars="200"/>
              <w:jc w:val="center"/>
              <w:rPr>
                <w:rFonts w:ascii="仿宋_GB2312" w:hAnsi="宋体" w:eastAsia="仿宋_GB2312"/>
                <w:color w:val="auto"/>
                <w:sz w:val="28"/>
                <w:szCs w:val="28"/>
              </w:rPr>
            </w:pPr>
            <w:r>
              <w:rPr>
                <w:rFonts w:hint="eastAsia" w:ascii="仿宋_GB2312" w:hAnsi="宋体" w:eastAsia="仿宋_GB2312"/>
                <w:color w:val="auto"/>
                <w:sz w:val="28"/>
                <w:szCs w:val="28"/>
              </w:rPr>
              <w:t>法定代表人身份证复印件</w:t>
            </w:r>
          </w:p>
          <w:p>
            <w:pPr>
              <w:spacing w:line="400" w:lineRule="exact"/>
              <w:ind w:firstLine="560" w:firstLineChars="200"/>
              <w:jc w:val="center"/>
              <w:rPr>
                <w:rFonts w:ascii="仿宋_GB2312" w:hAnsi="宋体" w:eastAsia="仿宋_GB2312"/>
                <w:color w:val="auto"/>
                <w:sz w:val="28"/>
                <w:szCs w:val="28"/>
              </w:rPr>
            </w:pPr>
            <w:r>
              <w:rPr>
                <w:rFonts w:hint="eastAsia" w:ascii="仿宋_GB2312" w:hAnsi="宋体" w:eastAsia="仿宋_GB2312"/>
                <w:color w:val="auto"/>
                <w:sz w:val="28"/>
                <w:szCs w:val="28"/>
              </w:rPr>
              <w:t>（背面粘贴处）</w:t>
            </w:r>
          </w:p>
        </w:tc>
        <w:tc>
          <w:tcPr>
            <w:tcW w:w="4556" w:type="dxa"/>
            <w:vAlign w:val="center"/>
          </w:tcPr>
          <w:p>
            <w:pPr>
              <w:spacing w:line="400" w:lineRule="exact"/>
              <w:ind w:firstLine="560" w:firstLineChars="200"/>
              <w:jc w:val="center"/>
              <w:rPr>
                <w:rFonts w:ascii="仿宋_GB2312" w:hAnsi="宋体" w:eastAsia="仿宋_GB2312"/>
                <w:color w:val="auto"/>
                <w:sz w:val="28"/>
                <w:szCs w:val="28"/>
              </w:rPr>
            </w:pPr>
            <w:r>
              <w:rPr>
                <w:rFonts w:hint="eastAsia" w:ascii="仿宋_GB2312" w:hAnsi="宋体" w:eastAsia="仿宋_GB2312"/>
                <w:color w:val="auto"/>
                <w:sz w:val="28"/>
                <w:szCs w:val="28"/>
              </w:rPr>
              <w:t>代理人身份证复印件</w:t>
            </w:r>
          </w:p>
          <w:p>
            <w:pPr>
              <w:spacing w:line="400" w:lineRule="exact"/>
              <w:ind w:firstLine="1820" w:firstLineChars="650"/>
              <w:rPr>
                <w:rFonts w:ascii="仿宋_GB2312" w:hAnsi="宋体" w:eastAsia="仿宋_GB2312"/>
                <w:color w:val="auto"/>
                <w:sz w:val="28"/>
                <w:szCs w:val="28"/>
              </w:rPr>
            </w:pPr>
            <w:r>
              <w:rPr>
                <w:rFonts w:hint="eastAsia" w:ascii="仿宋_GB2312" w:hAnsi="宋体" w:eastAsia="仿宋_GB2312"/>
                <w:color w:val="auto"/>
                <w:sz w:val="28"/>
                <w:szCs w:val="28"/>
              </w:rPr>
              <w:t>（背面粘贴处）</w:t>
            </w:r>
          </w:p>
        </w:tc>
      </w:tr>
    </w:tbl>
    <w:p>
      <w:pPr>
        <w:widowControl/>
        <w:wordWrap w:val="0"/>
        <w:spacing w:beforeLines="100" w:line="460" w:lineRule="exact"/>
        <w:ind w:firstLine="2800" w:firstLineChars="10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投标人：</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（公章）</w:t>
      </w:r>
    </w:p>
    <w:p>
      <w:pPr>
        <w:widowControl/>
        <w:wordWrap w:val="0"/>
        <w:spacing w:line="460" w:lineRule="exact"/>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w:t>
      </w:r>
    </w:p>
    <w:p>
      <w:pPr>
        <w:widowControl/>
        <w:wordWrap w:val="0"/>
        <w:spacing w:line="460" w:lineRule="exact"/>
        <w:ind w:firstLine="5180" w:firstLineChars="185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 xml:space="preserve">年 </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 xml:space="preserve">月 </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日</w:t>
      </w:r>
    </w:p>
    <w:p>
      <w:pPr>
        <w:pStyle w:val="2"/>
        <w:rPr>
          <w:color w:val="auto"/>
        </w:rPr>
      </w:pPr>
    </w:p>
    <w:p>
      <w:pPr>
        <w:tabs>
          <w:tab w:val="left" w:pos="720"/>
        </w:tabs>
        <w:spacing w:line="360" w:lineRule="auto"/>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注：本“法定代表人授权委托书”为委托代理人参加投标提供，若法定代表人参加投标请提供“法定代表人身份证明”，无须再提供“法定代表人授权委托书”。</w:t>
      </w:r>
    </w:p>
    <w:p>
      <w:pPr>
        <w:spacing w:beforeLines="50" w:afterLines="100"/>
        <w:jc w:val="center"/>
        <w:rPr>
          <w:rFonts w:ascii="仿宋_GB2312" w:hAnsi="宋体" w:eastAsia="仿宋_GB2312"/>
          <w:b/>
          <w:color w:val="auto"/>
          <w:sz w:val="36"/>
          <w:szCs w:val="36"/>
        </w:rPr>
      </w:pPr>
      <w:r>
        <w:rPr>
          <w:rFonts w:hint="eastAsia" w:ascii="仿宋_GB2312" w:hAnsi="宋体" w:eastAsia="仿宋_GB2312"/>
          <w:b/>
          <w:color w:val="auto"/>
          <w:sz w:val="36"/>
          <w:szCs w:val="36"/>
        </w:rPr>
        <w:t>委托代理人声明函</w:t>
      </w:r>
    </w:p>
    <w:p>
      <w:pPr>
        <w:tabs>
          <w:tab w:val="left" w:pos="720"/>
        </w:tabs>
        <w:spacing w:beforeLines="100" w:line="360" w:lineRule="auto"/>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委托代理人声明函格式及内容由投标人自拟，但至少应能够表明该委托代理人与投标人之间的真实关系。委托代理人声明函应由其本人签字或盖章同时加盖投标人单位公章，同时标注声明时间。</w:t>
      </w:r>
    </w:p>
    <w:p>
      <w:pPr>
        <w:tabs>
          <w:tab w:val="left" w:pos="720"/>
        </w:tabs>
        <w:spacing w:line="360" w:lineRule="auto"/>
        <w:ind w:firstLine="560" w:firstLineChars="200"/>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委托代理人声明函适用于投标人委托代理人参加投标提供“法定代表人授权委托书”情形，也可以提供委托代理人社保参保缴费情况证明材料或该委托代理人的“劳动合同”复印件代替“委托代理人声明函”，委托代理人声明函、委托代理人社保参保缴费情况证明、劳动合同等具备其一即可。</w:t>
      </w:r>
    </w:p>
    <w:p>
      <w:pPr>
        <w:rPr>
          <w:color w:val="auto"/>
        </w:rPr>
      </w:pPr>
    </w:p>
    <w:p>
      <w:pPr>
        <w:pStyle w:val="2"/>
        <w:rPr>
          <w:color w:val="auto"/>
        </w:rPr>
      </w:pPr>
    </w:p>
    <w:p>
      <w:pPr>
        <w:pStyle w:val="16"/>
        <w:spacing w:beforeLines="100" w:after="0" w:line="360" w:lineRule="auto"/>
        <w:jc w:val="center"/>
        <w:rPr>
          <w:rFonts w:ascii="黑体" w:hAnsi="宋体" w:eastAsia="黑体"/>
          <w:color w:val="auto"/>
          <w:sz w:val="36"/>
          <w:szCs w:val="36"/>
        </w:rPr>
      </w:pPr>
      <w:r>
        <w:rPr>
          <w:rFonts w:hint="eastAsia" w:ascii="黑体" w:hAnsi="宋体" w:eastAsia="黑体"/>
          <w:color w:val="auto"/>
          <w:sz w:val="36"/>
          <w:szCs w:val="36"/>
        </w:rPr>
        <w:t>4、所供核心产品情况一览表</w:t>
      </w:r>
    </w:p>
    <w:tbl>
      <w:tblPr>
        <w:tblStyle w:val="24"/>
        <w:tblW w:w="9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881"/>
        <w:gridCol w:w="850"/>
        <w:gridCol w:w="851"/>
        <w:gridCol w:w="850"/>
        <w:gridCol w:w="388"/>
        <w:gridCol w:w="709"/>
        <w:gridCol w:w="809"/>
        <w:gridCol w:w="325"/>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blHeader/>
          <w:jc w:val="center"/>
        </w:trPr>
        <w:tc>
          <w:tcPr>
            <w:tcW w:w="1207" w:type="dxa"/>
            <w:tcBorders>
              <w:top w:val="single" w:color="auto" w:sz="12" w:space="0"/>
              <w:left w:val="single" w:color="auto" w:sz="12" w:space="0"/>
              <w:bottom w:val="single" w:color="auto" w:sz="2" w:space="0"/>
            </w:tcBorders>
            <w:vAlign w:val="center"/>
          </w:tcPr>
          <w:p>
            <w:pPr>
              <w:spacing w:beforeLines="50" w:afterLines="50"/>
              <w:jc w:val="center"/>
              <w:rPr>
                <w:rFonts w:ascii="仿宋_GB2312" w:hAnsi="宋体" w:eastAsia="仿宋_GB2312"/>
                <w:color w:val="auto"/>
                <w:sz w:val="24"/>
              </w:rPr>
            </w:pPr>
            <w:r>
              <w:rPr>
                <w:rFonts w:hint="eastAsia" w:ascii="仿宋_GB2312" w:hAnsi="宋体" w:eastAsia="仿宋_GB2312"/>
                <w:color w:val="auto"/>
                <w:sz w:val="24"/>
              </w:rPr>
              <w:t>项目名称</w:t>
            </w:r>
          </w:p>
        </w:tc>
        <w:tc>
          <w:tcPr>
            <w:tcW w:w="4820" w:type="dxa"/>
            <w:gridSpan w:val="5"/>
            <w:tcBorders>
              <w:top w:val="single" w:color="auto" w:sz="12" w:space="0"/>
              <w:bottom w:val="single" w:color="auto" w:sz="2" w:space="0"/>
              <w:right w:val="single" w:color="auto" w:sz="4" w:space="0"/>
            </w:tcBorders>
            <w:vAlign w:val="center"/>
          </w:tcPr>
          <w:p>
            <w:pPr>
              <w:spacing w:beforeLines="50" w:afterLines="50"/>
              <w:jc w:val="center"/>
              <w:rPr>
                <w:rFonts w:ascii="仿宋_GB2312" w:hAnsi="宋体" w:eastAsia="仿宋_GB2312"/>
                <w:color w:val="auto"/>
                <w:sz w:val="24"/>
              </w:rPr>
            </w:pPr>
          </w:p>
        </w:tc>
        <w:tc>
          <w:tcPr>
            <w:tcW w:w="1518" w:type="dxa"/>
            <w:gridSpan w:val="2"/>
            <w:tcBorders>
              <w:top w:val="single" w:color="auto" w:sz="12" w:space="0"/>
              <w:left w:val="single" w:color="auto" w:sz="4" w:space="0"/>
              <w:bottom w:val="single" w:color="auto" w:sz="2" w:space="0"/>
              <w:right w:val="single" w:color="auto" w:sz="4" w:space="0"/>
            </w:tcBorders>
            <w:vAlign w:val="center"/>
          </w:tcPr>
          <w:p>
            <w:pPr>
              <w:spacing w:beforeLines="50" w:afterLines="50"/>
              <w:jc w:val="center"/>
              <w:rPr>
                <w:rFonts w:ascii="仿宋_GB2312" w:hAnsi="宋体" w:eastAsia="仿宋_GB2312"/>
                <w:color w:val="auto"/>
                <w:sz w:val="24"/>
              </w:rPr>
            </w:pPr>
            <w:r>
              <w:rPr>
                <w:rFonts w:hint="eastAsia" w:ascii="仿宋_GB2312" w:hAnsi="宋体" w:eastAsia="仿宋_GB2312"/>
                <w:color w:val="auto"/>
                <w:sz w:val="24"/>
              </w:rPr>
              <w:t>项目编号</w:t>
            </w:r>
          </w:p>
        </w:tc>
        <w:tc>
          <w:tcPr>
            <w:tcW w:w="2451" w:type="dxa"/>
            <w:gridSpan w:val="3"/>
            <w:tcBorders>
              <w:top w:val="single" w:color="auto" w:sz="12" w:space="0"/>
              <w:left w:val="single" w:color="auto" w:sz="4" w:space="0"/>
              <w:bottom w:val="single" w:color="auto" w:sz="2"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207" w:type="dxa"/>
            <w:tcBorders>
              <w:top w:val="single" w:color="auto" w:sz="2" w:space="0"/>
              <w:left w:val="single" w:color="auto" w:sz="12" w:space="0"/>
              <w:bottom w:val="single" w:color="auto" w:sz="2" w:space="0"/>
            </w:tcBorders>
            <w:vAlign w:val="center"/>
          </w:tcPr>
          <w:p>
            <w:pPr>
              <w:spacing w:beforeLines="50" w:afterLines="50" w:line="440" w:lineRule="exact"/>
              <w:jc w:val="center"/>
              <w:rPr>
                <w:rFonts w:ascii="仿宋_GB2312" w:hAnsi="宋体" w:eastAsia="仿宋_GB2312"/>
                <w:color w:val="auto"/>
                <w:sz w:val="24"/>
              </w:rPr>
            </w:pPr>
            <w:r>
              <w:rPr>
                <w:rFonts w:hint="eastAsia" w:ascii="仿宋_GB2312" w:hAnsi="宋体" w:eastAsia="仿宋_GB2312"/>
                <w:color w:val="auto"/>
                <w:sz w:val="24"/>
              </w:rPr>
              <w:t>货物名称</w:t>
            </w:r>
          </w:p>
        </w:tc>
        <w:tc>
          <w:tcPr>
            <w:tcW w:w="1881" w:type="dxa"/>
            <w:tcBorders>
              <w:top w:val="single" w:color="auto" w:sz="2" w:space="0"/>
              <w:bottom w:val="single" w:color="auto" w:sz="2" w:space="0"/>
            </w:tcBorders>
            <w:vAlign w:val="center"/>
          </w:tcPr>
          <w:p>
            <w:pPr>
              <w:spacing w:beforeLines="50" w:afterLines="50" w:line="440" w:lineRule="exact"/>
              <w:jc w:val="center"/>
              <w:rPr>
                <w:rFonts w:ascii="仿宋_GB2312" w:hAnsi="宋体" w:eastAsia="仿宋_GB2312"/>
                <w:color w:val="auto"/>
                <w:sz w:val="24"/>
              </w:rPr>
            </w:pPr>
            <w:r>
              <w:rPr>
                <w:rFonts w:hint="eastAsia" w:ascii="仿宋_GB2312" w:hAnsi="宋体" w:eastAsia="仿宋_GB2312"/>
                <w:color w:val="auto"/>
                <w:sz w:val="24"/>
              </w:rPr>
              <w:t>规格型号、配置、技术参数及相关说明</w:t>
            </w:r>
          </w:p>
        </w:tc>
        <w:tc>
          <w:tcPr>
            <w:tcW w:w="850" w:type="dxa"/>
            <w:tcBorders>
              <w:top w:val="single" w:color="auto" w:sz="2" w:space="0"/>
              <w:bottom w:val="single" w:color="auto" w:sz="2" w:space="0"/>
            </w:tcBorders>
            <w:vAlign w:val="center"/>
          </w:tcPr>
          <w:p>
            <w:pPr>
              <w:spacing w:beforeLines="50" w:afterLines="50" w:line="440" w:lineRule="exact"/>
              <w:jc w:val="center"/>
              <w:rPr>
                <w:rFonts w:ascii="仿宋_GB2312" w:hAnsi="宋体" w:eastAsia="仿宋_GB2312"/>
                <w:color w:val="auto"/>
                <w:sz w:val="24"/>
              </w:rPr>
            </w:pPr>
            <w:r>
              <w:rPr>
                <w:rFonts w:hint="eastAsia" w:ascii="仿宋_GB2312" w:hAnsi="宋体" w:eastAsia="仿宋_GB2312"/>
                <w:color w:val="auto"/>
                <w:sz w:val="24"/>
              </w:rPr>
              <w:t>单位</w:t>
            </w:r>
          </w:p>
        </w:tc>
        <w:tc>
          <w:tcPr>
            <w:tcW w:w="851" w:type="dxa"/>
            <w:tcBorders>
              <w:top w:val="single" w:color="auto" w:sz="2" w:space="0"/>
              <w:bottom w:val="single" w:color="auto" w:sz="2" w:space="0"/>
            </w:tcBorders>
            <w:vAlign w:val="center"/>
          </w:tcPr>
          <w:p>
            <w:pPr>
              <w:spacing w:beforeLines="50" w:afterLines="50" w:line="440" w:lineRule="exact"/>
              <w:jc w:val="center"/>
              <w:rPr>
                <w:rFonts w:ascii="仿宋_GB2312" w:hAnsi="宋体" w:eastAsia="仿宋_GB2312"/>
                <w:color w:val="auto"/>
                <w:sz w:val="24"/>
              </w:rPr>
            </w:pPr>
            <w:r>
              <w:rPr>
                <w:rFonts w:hint="eastAsia" w:ascii="仿宋_GB2312" w:hAnsi="宋体" w:eastAsia="仿宋_GB2312"/>
                <w:color w:val="auto"/>
                <w:sz w:val="24"/>
              </w:rPr>
              <w:t>数量</w:t>
            </w:r>
          </w:p>
        </w:tc>
        <w:tc>
          <w:tcPr>
            <w:tcW w:w="850" w:type="dxa"/>
            <w:tcBorders>
              <w:top w:val="single" w:color="auto" w:sz="2" w:space="0"/>
              <w:bottom w:val="single" w:color="auto" w:sz="2" w:space="0"/>
            </w:tcBorders>
            <w:vAlign w:val="center"/>
          </w:tcPr>
          <w:p>
            <w:pPr>
              <w:spacing w:beforeLines="50" w:afterLines="50" w:line="440" w:lineRule="exact"/>
              <w:jc w:val="center"/>
              <w:rPr>
                <w:rFonts w:ascii="仿宋_GB2312" w:hAnsi="宋体" w:eastAsia="仿宋_GB2312"/>
                <w:color w:val="auto"/>
                <w:sz w:val="24"/>
              </w:rPr>
            </w:pPr>
            <w:r>
              <w:rPr>
                <w:rFonts w:hint="eastAsia" w:ascii="仿宋_GB2312" w:hAnsi="宋体" w:eastAsia="仿宋_GB2312"/>
                <w:color w:val="auto"/>
                <w:sz w:val="24"/>
              </w:rPr>
              <w:t>单价</w:t>
            </w:r>
          </w:p>
        </w:tc>
        <w:tc>
          <w:tcPr>
            <w:tcW w:w="1097" w:type="dxa"/>
            <w:gridSpan w:val="2"/>
            <w:tcBorders>
              <w:top w:val="single" w:color="auto" w:sz="2" w:space="0"/>
              <w:bottom w:val="single" w:color="auto" w:sz="2" w:space="0"/>
            </w:tcBorders>
            <w:vAlign w:val="center"/>
          </w:tcPr>
          <w:p>
            <w:pPr>
              <w:spacing w:beforeLines="50" w:afterLines="50" w:line="440" w:lineRule="exact"/>
              <w:jc w:val="center"/>
              <w:rPr>
                <w:rFonts w:ascii="仿宋_GB2312" w:hAnsi="宋体" w:eastAsia="仿宋_GB2312"/>
                <w:color w:val="auto"/>
                <w:sz w:val="24"/>
              </w:rPr>
            </w:pPr>
            <w:r>
              <w:rPr>
                <w:rFonts w:hint="eastAsia" w:ascii="仿宋_GB2312" w:hAnsi="宋体" w:eastAsia="仿宋_GB2312"/>
                <w:color w:val="auto"/>
                <w:sz w:val="24"/>
              </w:rPr>
              <w:t>合价</w:t>
            </w:r>
          </w:p>
          <w:p>
            <w:pPr>
              <w:spacing w:beforeLines="50" w:afterLines="50" w:line="440" w:lineRule="exact"/>
              <w:jc w:val="center"/>
              <w:rPr>
                <w:rFonts w:ascii="仿宋_GB2312" w:hAnsi="宋体" w:eastAsia="仿宋_GB2312"/>
                <w:color w:val="auto"/>
                <w:sz w:val="24"/>
              </w:rPr>
            </w:pPr>
            <w:r>
              <w:rPr>
                <w:rFonts w:hint="eastAsia" w:ascii="仿宋_GB2312" w:hAnsi="宋体" w:eastAsia="仿宋_GB2312"/>
                <w:color w:val="auto"/>
                <w:sz w:val="24"/>
              </w:rPr>
              <w:t>（元）</w:t>
            </w:r>
          </w:p>
        </w:tc>
        <w:tc>
          <w:tcPr>
            <w:tcW w:w="1134" w:type="dxa"/>
            <w:gridSpan w:val="2"/>
            <w:tcBorders>
              <w:top w:val="single" w:color="auto" w:sz="2" w:space="0"/>
              <w:bottom w:val="single" w:color="auto" w:sz="2" w:space="0"/>
            </w:tcBorders>
            <w:vAlign w:val="center"/>
          </w:tcPr>
          <w:p>
            <w:pPr>
              <w:spacing w:beforeLines="50" w:afterLines="50" w:line="440" w:lineRule="exact"/>
              <w:jc w:val="center"/>
              <w:rPr>
                <w:rFonts w:ascii="仿宋_GB2312" w:hAnsi="宋体" w:eastAsia="仿宋_GB2312"/>
                <w:color w:val="auto"/>
                <w:sz w:val="24"/>
              </w:rPr>
            </w:pPr>
            <w:r>
              <w:rPr>
                <w:rFonts w:hint="eastAsia" w:ascii="仿宋_GB2312" w:hAnsi="宋体" w:eastAsia="仿宋_GB2312"/>
                <w:color w:val="auto"/>
                <w:sz w:val="24"/>
              </w:rPr>
              <w:t>品牌</w:t>
            </w:r>
          </w:p>
        </w:tc>
        <w:tc>
          <w:tcPr>
            <w:tcW w:w="1134" w:type="dxa"/>
            <w:tcBorders>
              <w:top w:val="single" w:color="auto" w:sz="2" w:space="0"/>
              <w:bottom w:val="single" w:color="auto" w:sz="2" w:space="0"/>
              <w:right w:val="single" w:color="auto" w:sz="4" w:space="0"/>
            </w:tcBorders>
            <w:vAlign w:val="center"/>
          </w:tcPr>
          <w:p>
            <w:pPr>
              <w:spacing w:beforeLines="50" w:afterLines="50" w:line="440" w:lineRule="exact"/>
              <w:jc w:val="center"/>
              <w:rPr>
                <w:rFonts w:ascii="仿宋_GB2312" w:hAnsi="宋体" w:eastAsia="仿宋_GB2312"/>
                <w:color w:val="auto"/>
                <w:sz w:val="24"/>
              </w:rPr>
            </w:pPr>
            <w:r>
              <w:rPr>
                <w:rFonts w:hint="eastAsia" w:ascii="仿宋_GB2312" w:hAnsi="宋体" w:eastAsia="仿宋_GB2312"/>
                <w:color w:val="auto"/>
                <w:sz w:val="24"/>
              </w:rPr>
              <w:t>制造商</w:t>
            </w:r>
          </w:p>
        </w:tc>
        <w:tc>
          <w:tcPr>
            <w:tcW w:w="992" w:type="dxa"/>
            <w:tcBorders>
              <w:top w:val="single" w:color="auto" w:sz="2" w:space="0"/>
              <w:left w:val="single" w:color="auto" w:sz="4" w:space="0"/>
              <w:bottom w:val="single" w:color="auto" w:sz="2" w:space="0"/>
              <w:right w:val="single" w:color="auto" w:sz="12" w:space="0"/>
            </w:tcBorders>
            <w:vAlign w:val="center"/>
          </w:tcPr>
          <w:p>
            <w:pPr>
              <w:spacing w:beforeLines="50" w:afterLines="50" w:line="440" w:lineRule="exact"/>
              <w:jc w:val="center"/>
              <w:rPr>
                <w:rFonts w:ascii="仿宋_GB2312" w:hAnsi="宋体" w:eastAsia="仿宋_GB2312"/>
                <w:color w:val="auto"/>
                <w:sz w:val="24"/>
              </w:rPr>
            </w:pPr>
            <w:r>
              <w:rPr>
                <w:rFonts w:hint="eastAsia" w:ascii="仿宋_GB2312" w:hAnsi="宋体" w:eastAsia="仿宋_GB2312"/>
                <w:color w:val="auto"/>
                <w:sz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207" w:type="dxa"/>
            <w:tcBorders>
              <w:top w:val="single" w:color="auto" w:sz="2" w:space="0"/>
              <w:left w:val="single" w:color="auto" w:sz="12" w:space="0"/>
              <w:bottom w:val="single" w:color="auto" w:sz="2" w:space="0"/>
            </w:tcBorders>
            <w:vAlign w:val="center"/>
          </w:tcPr>
          <w:p>
            <w:pPr>
              <w:spacing w:beforeLines="50" w:afterLines="50"/>
              <w:jc w:val="center"/>
              <w:rPr>
                <w:rFonts w:ascii="仿宋_GB2312" w:hAnsi="宋体" w:eastAsia="仿宋_GB2312"/>
                <w:color w:val="auto"/>
                <w:sz w:val="24"/>
              </w:rPr>
            </w:pPr>
          </w:p>
        </w:tc>
        <w:tc>
          <w:tcPr>
            <w:tcW w:w="1881" w:type="dxa"/>
            <w:tcBorders>
              <w:top w:val="single" w:color="auto" w:sz="2" w:space="0"/>
              <w:bottom w:val="single" w:color="auto" w:sz="2" w:space="0"/>
            </w:tcBorders>
            <w:vAlign w:val="center"/>
          </w:tcPr>
          <w:p>
            <w:pPr>
              <w:spacing w:beforeLines="50" w:afterLines="50"/>
              <w:jc w:val="center"/>
              <w:rPr>
                <w:rFonts w:ascii="仿宋_GB2312" w:hAnsi="宋体" w:eastAsia="仿宋_GB2312"/>
                <w:color w:val="auto"/>
                <w:sz w:val="24"/>
              </w:rPr>
            </w:pPr>
          </w:p>
        </w:tc>
        <w:tc>
          <w:tcPr>
            <w:tcW w:w="850" w:type="dxa"/>
            <w:tcBorders>
              <w:top w:val="single" w:color="auto" w:sz="2" w:space="0"/>
              <w:bottom w:val="single" w:color="auto" w:sz="2" w:space="0"/>
            </w:tcBorders>
            <w:vAlign w:val="center"/>
          </w:tcPr>
          <w:p>
            <w:pPr>
              <w:spacing w:beforeLines="50" w:afterLines="50"/>
              <w:jc w:val="center"/>
              <w:rPr>
                <w:rFonts w:ascii="仿宋_GB2312" w:hAnsi="宋体" w:eastAsia="仿宋_GB2312"/>
                <w:color w:val="auto"/>
                <w:sz w:val="24"/>
              </w:rPr>
            </w:pPr>
          </w:p>
        </w:tc>
        <w:tc>
          <w:tcPr>
            <w:tcW w:w="851" w:type="dxa"/>
            <w:tcBorders>
              <w:top w:val="single" w:color="auto" w:sz="2" w:space="0"/>
              <w:bottom w:val="single" w:color="auto" w:sz="2" w:space="0"/>
            </w:tcBorders>
            <w:vAlign w:val="center"/>
          </w:tcPr>
          <w:p>
            <w:pPr>
              <w:spacing w:beforeLines="50" w:afterLines="50"/>
              <w:jc w:val="center"/>
              <w:rPr>
                <w:rFonts w:ascii="仿宋_GB2312" w:hAnsi="宋体" w:eastAsia="仿宋_GB2312"/>
                <w:color w:val="auto"/>
                <w:sz w:val="24"/>
              </w:rPr>
            </w:pPr>
          </w:p>
        </w:tc>
        <w:tc>
          <w:tcPr>
            <w:tcW w:w="850" w:type="dxa"/>
            <w:tcBorders>
              <w:top w:val="single" w:color="auto" w:sz="2" w:space="0"/>
              <w:bottom w:val="single" w:color="auto" w:sz="2" w:space="0"/>
            </w:tcBorders>
            <w:vAlign w:val="center"/>
          </w:tcPr>
          <w:p>
            <w:pPr>
              <w:spacing w:beforeLines="50" w:afterLines="50"/>
              <w:jc w:val="center"/>
              <w:rPr>
                <w:rFonts w:ascii="仿宋_GB2312" w:hAnsi="宋体" w:eastAsia="仿宋_GB2312"/>
                <w:color w:val="auto"/>
                <w:sz w:val="24"/>
              </w:rPr>
            </w:pPr>
          </w:p>
        </w:tc>
        <w:tc>
          <w:tcPr>
            <w:tcW w:w="1097" w:type="dxa"/>
            <w:gridSpan w:val="2"/>
            <w:tcBorders>
              <w:top w:val="single" w:color="auto" w:sz="2" w:space="0"/>
              <w:bottom w:val="single" w:color="auto" w:sz="2" w:space="0"/>
            </w:tcBorders>
            <w:vAlign w:val="center"/>
          </w:tcPr>
          <w:p>
            <w:pPr>
              <w:spacing w:beforeLines="50" w:afterLines="50"/>
              <w:jc w:val="center"/>
              <w:rPr>
                <w:rFonts w:ascii="仿宋_GB2312" w:hAnsi="宋体" w:eastAsia="仿宋_GB2312"/>
                <w:color w:val="auto"/>
                <w:sz w:val="24"/>
              </w:rPr>
            </w:pPr>
          </w:p>
        </w:tc>
        <w:tc>
          <w:tcPr>
            <w:tcW w:w="1134" w:type="dxa"/>
            <w:gridSpan w:val="2"/>
            <w:tcBorders>
              <w:top w:val="single" w:color="auto" w:sz="2" w:space="0"/>
              <w:bottom w:val="single" w:color="auto" w:sz="2" w:space="0"/>
            </w:tcBorders>
            <w:vAlign w:val="center"/>
          </w:tcPr>
          <w:p>
            <w:pPr>
              <w:spacing w:beforeLines="50" w:afterLines="50"/>
              <w:jc w:val="center"/>
              <w:rPr>
                <w:rFonts w:ascii="仿宋_GB2312" w:hAnsi="宋体" w:eastAsia="仿宋_GB2312"/>
                <w:color w:val="auto"/>
                <w:sz w:val="24"/>
              </w:rPr>
            </w:pPr>
          </w:p>
        </w:tc>
        <w:tc>
          <w:tcPr>
            <w:tcW w:w="1134" w:type="dxa"/>
            <w:tcBorders>
              <w:top w:val="single" w:color="auto" w:sz="2" w:space="0"/>
              <w:bottom w:val="single" w:color="auto" w:sz="2" w:space="0"/>
              <w:right w:val="single" w:color="auto" w:sz="4" w:space="0"/>
            </w:tcBorders>
            <w:vAlign w:val="center"/>
          </w:tcPr>
          <w:p>
            <w:pPr>
              <w:spacing w:beforeLines="50" w:afterLines="50"/>
              <w:jc w:val="center"/>
              <w:rPr>
                <w:rFonts w:ascii="仿宋_GB2312" w:hAnsi="宋体" w:eastAsia="仿宋_GB2312"/>
                <w:color w:val="auto"/>
                <w:sz w:val="24"/>
              </w:rPr>
            </w:pPr>
          </w:p>
        </w:tc>
        <w:tc>
          <w:tcPr>
            <w:tcW w:w="992" w:type="dxa"/>
            <w:tcBorders>
              <w:top w:val="single" w:color="auto" w:sz="2" w:space="0"/>
              <w:left w:val="single" w:color="auto" w:sz="4" w:space="0"/>
              <w:bottom w:val="single" w:color="auto" w:sz="2" w:space="0"/>
              <w:right w:val="single" w:color="auto" w:sz="12" w:space="0"/>
            </w:tcBorders>
            <w:vAlign w:val="center"/>
          </w:tcPr>
          <w:p>
            <w:pPr>
              <w:spacing w:beforeLines="50" w:afterLines="50"/>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1207" w:type="dxa"/>
            <w:tcBorders>
              <w:top w:val="single" w:color="auto" w:sz="2" w:space="0"/>
              <w:left w:val="single" w:color="auto" w:sz="12" w:space="0"/>
              <w:bottom w:val="single" w:color="auto" w:sz="12" w:space="0"/>
            </w:tcBorders>
            <w:vAlign w:val="center"/>
          </w:tcPr>
          <w:p>
            <w:pPr>
              <w:spacing w:beforeLines="50" w:afterLines="50"/>
              <w:jc w:val="center"/>
              <w:rPr>
                <w:rFonts w:ascii="仿宋_GB2312" w:hAnsi="宋体" w:eastAsia="仿宋_GB2312"/>
                <w:color w:val="auto"/>
                <w:sz w:val="24"/>
              </w:rPr>
            </w:pPr>
          </w:p>
        </w:tc>
        <w:tc>
          <w:tcPr>
            <w:tcW w:w="1881" w:type="dxa"/>
            <w:tcBorders>
              <w:top w:val="single" w:color="auto" w:sz="2" w:space="0"/>
              <w:bottom w:val="single" w:color="auto" w:sz="12" w:space="0"/>
            </w:tcBorders>
            <w:vAlign w:val="center"/>
          </w:tcPr>
          <w:p>
            <w:pPr>
              <w:spacing w:beforeLines="50" w:afterLines="50"/>
              <w:jc w:val="center"/>
              <w:rPr>
                <w:rFonts w:ascii="仿宋_GB2312" w:hAnsi="宋体" w:eastAsia="仿宋_GB2312"/>
                <w:color w:val="auto"/>
                <w:sz w:val="24"/>
              </w:rPr>
            </w:pPr>
          </w:p>
        </w:tc>
        <w:tc>
          <w:tcPr>
            <w:tcW w:w="850" w:type="dxa"/>
            <w:tcBorders>
              <w:top w:val="single" w:color="auto" w:sz="2" w:space="0"/>
              <w:bottom w:val="single" w:color="auto" w:sz="12" w:space="0"/>
            </w:tcBorders>
            <w:vAlign w:val="center"/>
          </w:tcPr>
          <w:p>
            <w:pPr>
              <w:spacing w:beforeLines="50" w:afterLines="50"/>
              <w:jc w:val="center"/>
              <w:rPr>
                <w:rFonts w:ascii="仿宋_GB2312" w:hAnsi="宋体" w:eastAsia="仿宋_GB2312"/>
                <w:color w:val="auto"/>
                <w:sz w:val="24"/>
              </w:rPr>
            </w:pPr>
          </w:p>
        </w:tc>
        <w:tc>
          <w:tcPr>
            <w:tcW w:w="851" w:type="dxa"/>
            <w:tcBorders>
              <w:top w:val="single" w:color="auto" w:sz="2" w:space="0"/>
              <w:bottom w:val="single" w:color="auto" w:sz="12" w:space="0"/>
            </w:tcBorders>
            <w:vAlign w:val="center"/>
          </w:tcPr>
          <w:p>
            <w:pPr>
              <w:spacing w:beforeLines="50" w:afterLines="50"/>
              <w:jc w:val="center"/>
              <w:rPr>
                <w:rFonts w:ascii="仿宋_GB2312" w:hAnsi="宋体" w:eastAsia="仿宋_GB2312"/>
                <w:color w:val="auto"/>
                <w:sz w:val="24"/>
              </w:rPr>
            </w:pPr>
          </w:p>
        </w:tc>
        <w:tc>
          <w:tcPr>
            <w:tcW w:w="850" w:type="dxa"/>
            <w:tcBorders>
              <w:top w:val="single" w:color="auto" w:sz="2" w:space="0"/>
              <w:bottom w:val="single" w:color="auto" w:sz="12" w:space="0"/>
            </w:tcBorders>
            <w:vAlign w:val="center"/>
          </w:tcPr>
          <w:p>
            <w:pPr>
              <w:spacing w:beforeLines="50" w:afterLines="50"/>
              <w:jc w:val="center"/>
              <w:rPr>
                <w:rFonts w:ascii="仿宋_GB2312" w:hAnsi="宋体" w:eastAsia="仿宋_GB2312"/>
                <w:color w:val="auto"/>
                <w:sz w:val="24"/>
              </w:rPr>
            </w:pPr>
          </w:p>
        </w:tc>
        <w:tc>
          <w:tcPr>
            <w:tcW w:w="1097" w:type="dxa"/>
            <w:gridSpan w:val="2"/>
            <w:tcBorders>
              <w:top w:val="single" w:color="auto" w:sz="2" w:space="0"/>
              <w:bottom w:val="single" w:color="auto" w:sz="12" w:space="0"/>
            </w:tcBorders>
            <w:vAlign w:val="center"/>
          </w:tcPr>
          <w:p>
            <w:pPr>
              <w:spacing w:beforeLines="50" w:afterLines="50"/>
              <w:jc w:val="center"/>
              <w:rPr>
                <w:rFonts w:ascii="仿宋_GB2312" w:hAnsi="宋体" w:eastAsia="仿宋_GB2312"/>
                <w:color w:val="auto"/>
                <w:sz w:val="24"/>
              </w:rPr>
            </w:pPr>
          </w:p>
        </w:tc>
        <w:tc>
          <w:tcPr>
            <w:tcW w:w="1134" w:type="dxa"/>
            <w:gridSpan w:val="2"/>
            <w:tcBorders>
              <w:top w:val="single" w:color="auto" w:sz="2" w:space="0"/>
              <w:bottom w:val="single" w:color="auto" w:sz="12" w:space="0"/>
            </w:tcBorders>
            <w:vAlign w:val="center"/>
          </w:tcPr>
          <w:p>
            <w:pPr>
              <w:spacing w:beforeLines="50" w:afterLines="50"/>
              <w:jc w:val="center"/>
              <w:rPr>
                <w:rFonts w:ascii="仿宋_GB2312" w:hAnsi="宋体" w:eastAsia="仿宋_GB2312"/>
                <w:color w:val="auto"/>
                <w:sz w:val="24"/>
              </w:rPr>
            </w:pPr>
          </w:p>
        </w:tc>
        <w:tc>
          <w:tcPr>
            <w:tcW w:w="1134" w:type="dxa"/>
            <w:tcBorders>
              <w:top w:val="single" w:color="auto" w:sz="2" w:space="0"/>
              <w:bottom w:val="single" w:color="auto" w:sz="12" w:space="0"/>
              <w:right w:val="single" w:color="auto" w:sz="4" w:space="0"/>
            </w:tcBorders>
            <w:vAlign w:val="center"/>
          </w:tcPr>
          <w:p>
            <w:pPr>
              <w:spacing w:beforeLines="50" w:afterLines="50"/>
              <w:jc w:val="center"/>
              <w:rPr>
                <w:rFonts w:ascii="仿宋_GB2312" w:hAnsi="宋体" w:eastAsia="仿宋_GB2312"/>
                <w:color w:val="auto"/>
                <w:sz w:val="24"/>
              </w:rPr>
            </w:pPr>
          </w:p>
        </w:tc>
        <w:tc>
          <w:tcPr>
            <w:tcW w:w="992" w:type="dxa"/>
            <w:tcBorders>
              <w:top w:val="single" w:color="auto" w:sz="2" w:space="0"/>
              <w:left w:val="single" w:color="auto" w:sz="4" w:space="0"/>
              <w:bottom w:val="single" w:color="auto" w:sz="12" w:space="0"/>
              <w:right w:val="single" w:color="auto" w:sz="12" w:space="0"/>
            </w:tcBorders>
            <w:vAlign w:val="center"/>
          </w:tcPr>
          <w:p>
            <w:pPr>
              <w:spacing w:beforeLines="50" w:afterLines="50"/>
              <w:jc w:val="center"/>
              <w:rPr>
                <w:rFonts w:ascii="仿宋_GB2312" w:hAnsi="宋体" w:eastAsia="仿宋_GB2312"/>
                <w:color w:val="auto"/>
                <w:sz w:val="24"/>
              </w:rPr>
            </w:pPr>
          </w:p>
        </w:tc>
      </w:tr>
    </w:tbl>
    <w:p>
      <w:pPr>
        <w:snapToGrid w:val="0"/>
        <w:spacing w:line="640" w:lineRule="exact"/>
        <w:rPr>
          <w:rFonts w:ascii="仿宋_GB2312" w:eastAsia="仿宋_GB2312"/>
          <w:color w:val="auto"/>
          <w:sz w:val="28"/>
          <w:szCs w:val="28"/>
        </w:rPr>
      </w:pPr>
      <w:r>
        <w:rPr>
          <w:rFonts w:hint="eastAsia" w:ascii="仿宋_GB2312" w:hAnsi="宋体" w:eastAsia="仿宋_GB2312" w:cs="宋体"/>
          <w:color w:val="auto"/>
          <w:sz w:val="28"/>
          <w:szCs w:val="28"/>
        </w:rPr>
        <w:t>注：本项目核心产品为</w:t>
      </w:r>
      <w:r>
        <w:rPr>
          <w:rFonts w:hint="eastAsia" w:ascii="仿宋_GB2312" w:eastAsia="仿宋_GB2312"/>
          <w:color w:val="auto"/>
          <w:sz w:val="28"/>
          <w:szCs w:val="28"/>
          <w:u w:val="single"/>
        </w:rPr>
        <w:t xml:space="preserve">  智能LED教室灯  </w:t>
      </w:r>
      <w:r>
        <w:rPr>
          <w:rFonts w:hint="eastAsia" w:ascii="仿宋_GB2312" w:eastAsia="仿宋_GB2312"/>
          <w:color w:val="auto"/>
          <w:sz w:val="28"/>
          <w:szCs w:val="28"/>
        </w:rPr>
        <w:t>。</w:t>
      </w:r>
    </w:p>
    <w:p>
      <w:pPr>
        <w:pStyle w:val="2"/>
        <w:rPr>
          <w:color w:val="auto"/>
        </w:rPr>
      </w:pPr>
    </w:p>
    <w:p>
      <w:pPr>
        <w:wordWrap w:val="0"/>
        <w:snapToGrid w:val="0"/>
        <w:spacing w:line="460" w:lineRule="exact"/>
        <w:ind w:firstLine="3220" w:firstLineChars="1150"/>
        <w:rPr>
          <w:rFonts w:ascii="仿宋_GB2312" w:hAnsi="宋体" w:eastAsia="仿宋_GB2312" w:cs="宋体"/>
          <w:color w:val="auto"/>
          <w:sz w:val="28"/>
          <w:szCs w:val="28"/>
        </w:rPr>
      </w:pPr>
      <w:r>
        <w:rPr>
          <w:rFonts w:hint="eastAsia" w:ascii="仿宋_GB2312" w:hAnsi="宋体" w:eastAsia="仿宋_GB2312" w:cs="宋体"/>
          <w:color w:val="auto"/>
          <w:sz w:val="28"/>
          <w:szCs w:val="28"/>
        </w:rPr>
        <w:t>投标人：</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（公章）</w:t>
      </w:r>
    </w:p>
    <w:p>
      <w:pPr>
        <w:snapToGrid w:val="0"/>
        <w:spacing w:line="640" w:lineRule="exact"/>
        <w:ind w:firstLine="3091" w:firstLineChars="1104"/>
        <w:rPr>
          <w:rFonts w:ascii="仿宋_GB2312" w:hAnsi="宋体" w:eastAsia="仿宋_GB2312" w:cs="宋体"/>
          <w:color w:val="auto"/>
          <w:sz w:val="28"/>
          <w:szCs w:val="28"/>
        </w:rPr>
      </w:pPr>
      <w:r>
        <w:rPr>
          <w:rFonts w:hint="eastAsia" w:ascii="仿宋_GB2312" w:hAnsi="宋体" w:eastAsia="仿宋_GB2312" w:cs="宋体"/>
          <w:color w:val="auto"/>
          <w:sz w:val="28"/>
          <w:szCs w:val="28"/>
        </w:rPr>
        <w:t xml:space="preserve">法定代表人或其授权委托人：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（签字或盖章）</w:t>
      </w:r>
    </w:p>
    <w:p>
      <w:pPr>
        <w:wordWrap w:val="0"/>
        <w:spacing w:line="460" w:lineRule="exact"/>
        <w:ind w:firstLine="2100" w:firstLineChars="750"/>
        <w:rPr>
          <w:rFonts w:ascii="仿宋_GB2312" w:hAnsi="宋体" w:eastAsia="仿宋_GB2312" w:cs="宋体"/>
          <w:color w:val="auto"/>
          <w:sz w:val="28"/>
          <w:szCs w:val="28"/>
        </w:rPr>
      </w:pPr>
      <w:r>
        <w:rPr>
          <w:rFonts w:hint="eastAsia" w:ascii="仿宋_GB2312" w:hAnsi="宋体" w:eastAsia="仿宋_GB2312" w:cs="宋体"/>
          <w:color w:val="auto"/>
          <w:sz w:val="28"/>
          <w:szCs w:val="28"/>
        </w:rPr>
        <w:t xml:space="preserve">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 xml:space="preserve">年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 xml:space="preserve">月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日</w:t>
      </w:r>
    </w:p>
    <w:p>
      <w:pPr>
        <w:rPr>
          <w:color w:val="auto"/>
        </w:rPr>
      </w:pPr>
    </w:p>
    <w:p>
      <w:pPr>
        <w:pStyle w:val="2"/>
        <w:rPr>
          <w:color w:val="auto"/>
        </w:rPr>
      </w:pPr>
    </w:p>
    <w:p>
      <w:pPr>
        <w:rPr>
          <w:color w:val="auto"/>
        </w:rPr>
      </w:pPr>
    </w:p>
    <w:p>
      <w:pPr>
        <w:pStyle w:val="16"/>
        <w:spacing w:beforeLines="100" w:after="0" w:line="360" w:lineRule="auto"/>
        <w:jc w:val="center"/>
        <w:rPr>
          <w:rFonts w:ascii="黑体" w:hAnsi="宋体" w:eastAsia="黑体"/>
          <w:color w:val="auto"/>
          <w:sz w:val="36"/>
          <w:szCs w:val="36"/>
        </w:rPr>
      </w:pPr>
      <w:r>
        <w:rPr>
          <w:rFonts w:hint="eastAsia" w:ascii="黑体" w:hAnsi="宋体" w:eastAsia="黑体"/>
          <w:color w:val="auto"/>
          <w:sz w:val="36"/>
          <w:szCs w:val="36"/>
        </w:rPr>
        <w:t>5、营业执照</w:t>
      </w:r>
    </w:p>
    <w:p>
      <w:pPr>
        <w:pStyle w:val="15"/>
        <w:adjustRightInd w:val="0"/>
        <w:snapToGrid w:val="0"/>
        <w:spacing w:line="360" w:lineRule="auto"/>
        <w:jc w:val="center"/>
        <w:rPr>
          <w:rFonts w:ascii="仿宋_GB2312" w:hAnsi="楷体" w:eastAsia="仿宋_GB2312"/>
          <w:color w:val="auto"/>
          <w:sz w:val="28"/>
          <w:szCs w:val="28"/>
        </w:rPr>
      </w:pPr>
    </w:p>
    <w:p>
      <w:pPr>
        <w:pStyle w:val="15"/>
        <w:adjustRightInd w:val="0"/>
        <w:snapToGrid w:val="0"/>
        <w:spacing w:line="360" w:lineRule="auto"/>
        <w:jc w:val="center"/>
        <w:rPr>
          <w:rFonts w:ascii="仿宋_GB2312" w:hAnsi="楷体" w:eastAsia="仿宋_GB2312"/>
          <w:color w:val="auto"/>
          <w:sz w:val="28"/>
          <w:szCs w:val="28"/>
        </w:rPr>
      </w:pPr>
      <w:r>
        <w:rPr>
          <w:rFonts w:hint="eastAsia" w:ascii="仿宋_GB2312" w:hAnsi="楷体" w:eastAsia="仿宋_GB2312"/>
          <w:color w:val="auto"/>
          <w:sz w:val="28"/>
          <w:szCs w:val="28"/>
        </w:rPr>
        <w:t>附营业执照加盖公章复印件</w:t>
      </w:r>
    </w:p>
    <w:p>
      <w:pPr>
        <w:pStyle w:val="2"/>
        <w:rPr>
          <w:color w:val="auto"/>
        </w:rPr>
      </w:pPr>
    </w:p>
    <w:p>
      <w:pPr>
        <w:pStyle w:val="16"/>
        <w:spacing w:beforeLines="100" w:after="0" w:line="360" w:lineRule="auto"/>
        <w:ind w:left="0" w:leftChars="0"/>
        <w:jc w:val="left"/>
        <w:rPr>
          <w:rFonts w:ascii="黑体" w:hAnsi="宋体" w:eastAsia="黑体"/>
          <w:color w:val="auto"/>
          <w:sz w:val="36"/>
          <w:szCs w:val="36"/>
        </w:rPr>
      </w:pPr>
      <w:r>
        <w:rPr>
          <w:rFonts w:hint="eastAsia" w:ascii="黑体" w:hAnsi="宋体" w:eastAsia="黑体"/>
          <w:color w:val="auto"/>
          <w:sz w:val="36"/>
          <w:szCs w:val="36"/>
        </w:rPr>
        <w:t>6、2019或2020年度财务审计报告或投标人基本开户银行出具的资信证明</w:t>
      </w:r>
    </w:p>
    <w:p>
      <w:pPr>
        <w:spacing w:line="500" w:lineRule="exact"/>
        <w:rPr>
          <w:rFonts w:ascii="仿宋_GB2312" w:hAnsi="宋体" w:eastAsia="仿宋_GB2312"/>
          <w:color w:val="auto"/>
          <w:sz w:val="28"/>
          <w:szCs w:val="28"/>
        </w:rPr>
      </w:pPr>
      <w:r>
        <w:rPr>
          <w:rFonts w:hint="eastAsia" w:ascii="仿宋_GB2312" w:hAnsi="宋体" w:eastAsia="仿宋_GB2312"/>
          <w:color w:val="auto"/>
          <w:sz w:val="28"/>
          <w:szCs w:val="28"/>
        </w:rPr>
        <w:t>说明：</w:t>
      </w:r>
    </w:p>
    <w:p>
      <w:pPr>
        <w:spacing w:line="500" w:lineRule="exact"/>
        <w:ind w:firstLine="548" w:firstLineChars="196"/>
        <w:rPr>
          <w:rFonts w:ascii="仿宋_GB2312" w:hAnsi="宋体" w:eastAsia="仿宋_GB2312"/>
          <w:color w:val="auto"/>
          <w:sz w:val="28"/>
          <w:szCs w:val="28"/>
        </w:rPr>
      </w:pPr>
      <w:r>
        <w:rPr>
          <w:rFonts w:hint="eastAsia" w:ascii="仿宋_GB2312" w:hAnsi="宋体" w:eastAsia="仿宋_GB2312"/>
          <w:color w:val="auto"/>
          <w:sz w:val="28"/>
          <w:szCs w:val="28"/>
        </w:rPr>
        <w:t>提供经审计的2019或2020年度财务审计报告或本项目招标公告日至投标文件递交截止时间期间开户银行出具的资信证明。</w:t>
      </w:r>
    </w:p>
    <w:p>
      <w:pPr>
        <w:spacing w:line="500" w:lineRule="exact"/>
        <w:ind w:firstLine="548" w:firstLineChars="196"/>
        <w:rPr>
          <w:rFonts w:ascii="仿宋_GB2312" w:hAnsi="宋体" w:eastAsia="仿宋_GB2312"/>
          <w:color w:val="auto"/>
          <w:sz w:val="28"/>
          <w:szCs w:val="28"/>
        </w:rPr>
      </w:pPr>
      <w:r>
        <w:rPr>
          <w:rFonts w:hint="eastAsia" w:ascii="仿宋_GB2312" w:hAnsi="宋体" w:eastAsia="仿宋_GB2312"/>
          <w:color w:val="auto"/>
          <w:sz w:val="28"/>
          <w:szCs w:val="28"/>
        </w:rPr>
        <w:t>上述材料提供“财务审计报告”或“银行资信证明”中任意一项均可；资信证明文件中单位名称须与投标人单位名称一致，但不限定必须为本项目出具。</w:t>
      </w:r>
    </w:p>
    <w:p>
      <w:pPr>
        <w:spacing w:line="500" w:lineRule="exact"/>
        <w:ind w:firstLine="548" w:firstLineChars="196"/>
        <w:rPr>
          <w:rFonts w:ascii="仿宋_GB2312" w:hAnsi="宋体" w:eastAsia="仿宋_GB2312"/>
          <w:color w:val="auto"/>
          <w:sz w:val="28"/>
          <w:szCs w:val="28"/>
        </w:rPr>
      </w:pPr>
      <w:r>
        <w:rPr>
          <w:rFonts w:hint="eastAsia" w:ascii="仿宋_GB2312" w:hAnsi="宋体" w:eastAsia="仿宋_GB2312"/>
          <w:color w:val="auto"/>
          <w:sz w:val="28"/>
          <w:szCs w:val="28"/>
        </w:rPr>
        <w:t>财务审计报告为加盖投标人公章复印件。</w:t>
      </w:r>
    </w:p>
    <w:p>
      <w:pPr>
        <w:spacing w:line="500" w:lineRule="exact"/>
        <w:ind w:firstLine="548" w:firstLineChars="196"/>
        <w:rPr>
          <w:rFonts w:ascii="仿宋_GB2312" w:hAnsi="宋体" w:eastAsia="仿宋_GB2312"/>
          <w:color w:val="auto"/>
          <w:sz w:val="28"/>
          <w:szCs w:val="28"/>
        </w:rPr>
      </w:pPr>
      <w:r>
        <w:rPr>
          <w:rFonts w:hint="eastAsia" w:ascii="仿宋_GB2312" w:hAnsi="宋体" w:eastAsia="仿宋_GB2312"/>
          <w:color w:val="auto"/>
          <w:sz w:val="28"/>
          <w:szCs w:val="28"/>
        </w:rPr>
        <w:t>提供“银行资信证明”者，需要提供基本存款账户开户许可证复印件或基本存款账户信息。</w:t>
      </w:r>
    </w:p>
    <w:p>
      <w:pPr>
        <w:pStyle w:val="2"/>
        <w:rPr>
          <w:color w:val="auto"/>
        </w:rPr>
      </w:pPr>
    </w:p>
    <w:p>
      <w:pPr>
        <w:rPr>
          <w:color w:val="auto"/>
        </w:rPr>
      </w:pPr>
    </w:p>
    <w:p>
      <w:pPr>
        <w:pStyle w:val="16"/>
        <w:spacing w:beforeLines="100" w:after="0" w:line="360" w:lineRule="auto"/>
        <w:ind w:left="0" w:leftChars="0"/>
        <w:jc w:val="left"/>
        <w:rPr>
          <w:rFonts w:ascii="黑体" w:hAnsi="宋体" w:eastAsia="黑体"/>
          <w:color w:val="auto"/>
          <w:sz w:val="36"/>
          <w:szCs w:val="36"/>
        </w:rPr>
      </w:pPr>
      <w:r>
        <w:rPr>
          <w:rFonts w:hint="eastAsia" w:ascii="黑体" w:hAnsi="宋体" w:eastAsia="黑体"/>
          <w:color w:val="auto"/>
          <w:sz w:val="36"/>
          <w:szCs w:val="36"/>
        </w:rPr>
        <w:t>7、完税证明</w:t>
      </w:r>
    </w:p>
    <w:p>
      <w:pPr>
        <w:spacing w:line="500" w:lineRule="exact"/>
        <w:rPr>
          <w:rFonts w:ascii="仿宋_GB2312" w:hAnsi="宋体" w:eastAsia="仿宋_GB2312"/>
          <w:color w:val="auto"/>
          <w:sz w:val="28"/>
          <w:szCs w:val="28"/>
        </w:rPr>
      </w:pPr>
      <w:r>
        <w:rPr>
          <w:rFonts w:hint="eastAsia" w:ascii="仿宋_GB2312" w:hAnsi="宋体" w:eastAsia="仿宋_GB2312"/>
          <w:color w:val="auto"/>
          <w:sz w:val="28"/>
          <w:szCs w:val="28"/>
        </w:rPr>
        <w:t>说明：</w:t>
      </w:r>
    </w:p>
    <w:p>
      <w:pPr>
        <w:spacing w:line="500" w:lineRule="exact"/>
        <w:ind w:firstLine="480"/>
        <w:rPr>
          <w:rFonts w:ascii="仿宋_GB2312" w:hAnsi="宋体" w:eastAsia="仿宋_GB2312"/>
          <w:color w:val="auto"/>
          <w:sz w:val="28"/>
          <w:szCs w:val="28"/>
        </w:rPr>
      </w:pPr>
      <w:r>
        <w:rPr>
          <w:rFonts w:hint="eastAsia" w:ascii="仿宋_GB2312" w:hAnsi="宋体" w:eastAsia="仿宋_GB2312"/>
          <w:color w:val="auto"/>
          <w:sz w:val="28"/>
          <w:szCs w:val="28"/>
        </w:rPr>
        <w:t>附加盖投标人公章复印件</w:t>
      </w:r>
    </w:p>
    <w:p>
      <w:pPr>
        <w:spacing w:line="500" w:lineRule="exact"/>
        <w:ind w:firstLine="480"/>
        <w:rPr>
          <w:rFonts w:ascii="仿宋_GB2312" w:hAnsi="宋体" w:eastAsia="仿宋_GB2312"/>
          <w:color w:val="auto"/>
          <w:sz w:val="28"/>
          <w:szCs w:val="28"/>
        </w:rPr>
      </w:pPr>
      <w:r>
        <w:rPr>
          <w:rFonts w:hint="eastAsia" w:ascii="仿宋_GB2312" w:hAnsi="宋体" w:eastAsia="仿宋_GB2312"/>
          <w:color w:val="auto"/>
          <w:sz w:val="28"/>
          <w:szCs w:val="28"/>
        </w:rPr>
        <w:t>投标人自投标前6个月以来已缴纳任意时段、任意税种凭证或税务机关开具的完税证明。</w:t>
      </w:r>
    </w:p>
    <w:p>
      <w:pPr>
        <w:spacing w:line="500" w:lineRule="exact"/>
        <w:ind w:firstLine="480"/>
        <w:rPr>
          <w:rFonts w:ascii="仿宋_GB2312" w:hAnsi="宋体" w:eastAsia="仿宋_GB2312"/>
          <w:color w:val="auto"/>
          <w:sz w:val="28"/>
          <w:szCs w:val="28"/>
        </w:rPr>
      </w:pPr>
      <w:r>
        <w:rPr>
          <w:rFonts w:hint="eastAsia" w:ascii="仿宋_GB2312" w:hAnsi="宋体" w:eastAsia="仿宋_GB2312"/>
          <w:color w:val="auto"/>
          <w:sz w:val="28"/>
          <w:szCs w:val="28"/>
        </w:rPr>
        <w:t>投标人须提供税务机关开具的证明纳税人已交纳税金的完税凭证（为“中华人民共和国税收完税证明”或“中华人民共和国税收缴款书”或银行出具的“电子缴税付款凭证”）。投标人向他人开具的税务发票无效。</w:t>
      </w:r>
    </w:p>
    <w:p>
      <w:pPr>
        <w:spacing w:line="500" w:lineRule="exact"/>
        <w:ind w:firstLine="480"/>
        <w:rPr>
          <w:rFonts w:ascii="仿宋_GB2312" w:hAnsi="宋体" w:eastAsia="仿宋_GB2312"/>
          <w:color w:val="auto"/>
          <w:sz w:val="28"/>
          <w:szCs w:val="28"/>
        </w:rPr>
      </w:pPr>
      <w:r>
        <w:rPr>
          <w:rFonts w:hint="eastAsia" w:ascii="仿宋_GB2312" w:hAnsi="宋体" w:eastAsia="仿宋_GB2312"/>
          <w:color w:val="auto"/>
          <w:sz w:val="28"/>
          <w:szCs w:val="28"/>
        </w:rPr>
        <w:t>依法免税的投标人，应提供相关证明材料，包括相关法规要求原文及加盖公章的情况说明。</w:t>
      </w:r>
    </w:p>
    <w:p>
      <w:pPr>
        <w:pStyle w:val="2"/>
        <w:rPr>
          <w:color w:val="auto"/>
        </w:rPr>
      </w:pPr>
    </w:p>
    <w:p>
      <w:pPr>
        <w:pStyle w:val="16"/>
        <w:spacing w:beforeLines="100" w:after="0" w:line="360" w:lineRule="auto"/>
        <w:ind w:left="0" w:leftChars="0"/>
        <w:jc w:val="left"/>
        <w:rPr>
          <w:rFonts w:ascii="黑体" w:hAnsi="宋体" w:eastAsia="黑体"/>
          <w:color w:val="auto"/>
          <w:sz w:val="36"/>
          <w:szCs w:val="36"/>
        </w:rPr>
      </w:pPr>
      <w:r>
        <w:rPr>
          <w:rFonts w:hint="eastAsia" w:ascii="黑体" w:hAnsi="宋体" w:eastAsia="黑体"/>
          <w:color w:val="auto"/>
          <w:sz w:val="36"/>
          <w:szCs w:val="36"/>
        </w:rPr>
        <w:t>8、养老保险或社保参保缴费情况证明</w:t>
      </w:r>
    </w:p>
    <w:p>
      <w:pPr>
        <w:spacing w:line="500" w:lineRule="exact"/>
        <w:rPr>
          <w:rFonts w:ascii="仿宋_GB2312" w:hAnsi="宋体" w:eastAsia="仿宋_GB2312"/>
          <w:color w:val="auto"/>
          <w:sz w:val="28"/>
          <w:szCs w:val="28"/>
        </w:rPr>
      </w:pPr>
      <w:r>
        <w:rPr>
          <w:rFonts w:ascii="仿宋_GB2312" w:hAnsi="宋体" w:eastAsia="仿宋_GB2312"/>
          <w:color w:val="auto"/>
          <w:sz w:val="28"/>
          <w:szCs w:val="28"/>
        </w:rPr>
        <w:t>说明</w:t>
      </w:r>
      <w:r>
        <w:rPr>
          <w:rFonts w:hint="eastAsia" w:ascii="仿宋_GB2312" w:hAnsi="宋体" w:eastAsia="仿宋_GB2312"/>
          <w:color w:val="auto"/>
          <w:sz w:val="28"/>
          <w:szCs w:val="28"/>
        </w:rPr>
        <w:t>：</w:t>
      </w:r>
    </w:p>
    <w:p>
      <w:pPr>
        <w:spacing w:line="500" w:lineRule="exact"/>
        <w:ind w:firstLine="480"/>
        <w:rPr>
          <w:rFonts w:ascii="仿宋_GB2312" w:hAnsi="宋体" w:eastAsia="仿宋_GB2312"/>
          <w:color w:val="auto"/>
          <w:sz w:val="28"/>
          <w:szCs w:val="28"/>
        </w:rPr>
      </w:pPr>
      <w:r>
        <w:rPr>
          <w:rFonts w:hint="eastAsia" w:ascii="仿宋_GB2312" w:hAnsi="宋体" w:eastAsia="仿宋_GB2312"/>
          <w:color w:val="auto"/>
          <w:sz w:val="28"/>
          <w:szCs w:val="28"/>
        </w:rPr>
        <w:t>附加盖投标人公章复印件</w:t>
      </w:r>
    </w:p>
    <w:p>
      <w:pPr>
        <w:spacing w:line="500" w:lineRule="exact"/>
        <w:ind w:firstLine="548" w:firstLineChars="196"/>
        <w:rPr>
          <w:rFonts w:ascii="仿宋_GB2312" w:hAnsi="宋体" w:eastAsia="仿宋_GB2312"/>
          <w:color w:val="auto"/>
          <w:sz w:val="28"/>
          <w:szCs w:val="28"/>
        </w:rPr>
      </w:pPr>
      <w:r>
        <w:rPr>
          <w:rFonts w:hint="eastAsia" w:ascii="仿宋_GB2312" w:hAnsi="宋体" w:eastAsia="仿宋_GB2312"/>
          <w:color w:val="auto"/>
          <w:sz w:val="28"/>
          <w:szCs w:val="28"/>
        </w:rPr>
        <w:t>投标人自投标前6个月以来已缴存的任意时段的社会保障资金缴存单据或社保机构开具的社会保险参保缴费情况证明</w:t>
      </w:r>
    </w:p>
    <w:p>
      <w:pPr>
        <w:spacing w:line="500" w:lineRule="exact"/>
        <w:ind w:firstLine="548" w:firstLineChars="196"/>
        <w:rPr>
          <w:rFonts w:ascii="仿宋_GB2312" w:hAnsi="宋体" w:eastAsia="仿宋_GB2312"/>
          <w:color w:val="auto"/>
          <w:sz w:val="28"/>
          <w:szCs w:val="28"/>
        </w:rPr>
      </w:pPr>
      <w:r>
        <w:rPr>
          <w:rFonts w:hint="eastAsia" w:ascii="仿宋_GB2312" w:hAnsi="宋体" w:eastAsia="仿宋_GB2312"/>
          <w:color w:val="auto"/>
          <w:sz w:val="28"/>
          <w:szCs w:val="28"/>
        </w:rPr>
        <w:t>依法不需要缴纳社会保障资金的投标人，应提供相关证明材料，包括相关法规要求原文及加盖公章的情况说明。</w:t>
      </w:r>
    </w:p>
    <w:p>
      <w:pPr>
        <w:pStyle w:val="2"/>
        <w:rPr>
          <w:color w:val="auto"/>
        </w:rPr>
      </w:pPr>
    </w:p>
    <w:p>
      <w:pPr>
        <w:rPr>
          <w:rFonts w:ascii="黑体" w:hAnsi="宋体" w:eastAsia="黑体"/>
          <w:color w:val="auto"/>
          <w:sz w:val="36"/>
          <w:szCs w:val="36"/>
        </w:rPr>
      </w:pPr>
      <w:r>
        <w:rPr>
          <w:rFonts w:hint="eastAsia" w:ascii="黑体" w:hAnsi="宋体" w:eastAsia="黑体"/>
          <w:color w:val="auto"/>
          <w:sz w:val="36"/>
          <w:szCs w:val="36"/>
        </w:rPr>
        <w:t>9、具备履行合同所必需的设备和专业技术能力承诺函</w:t>
      </w:r>
    </w:p>
    <w:p>
      <w:pPr>
        <w:spacing w:beforeLines="100" w:afterLines="50" w:line="500" w:lineRule="exact"/>
        <w:rPr>
          <w:rFonts w:ascii="仿宋_GB2312" w:hAnsi="宋体" w:eastAsia="仿宋_GB2312"/>
          <w:color w:val="auto"/>
          <w:sz w:val="28"/>
          <w:szCs w:val="28"/>
          <w:u w:val="single"/>
        </w:rPr>
      </w:pPr>
      <w:r>
        <w:rPr>
          <w:rFonts w:hint="eastAsia" w:ascii="仿宋_GB2312" w:hAnsi="宋体" w:eastAsia="仿宋_GB2312"/>
          <w:color w:val="auto"/>
          <w:sz w:val="28"/>
          <w:szCs w:val="28"/>
        </w:rPr>
        <w:t>致：</w:t>
      </w:r>
      <w:r>
        <w:rPr>
          <w:rFonts w:hint="eastAsia" w:ascii="仿宋_GB2312" w:hAnsi="宋体" w:eastAsia="仿宋_GB2312"/>
          <w:color w:val="auto"/>
          <w:sz w:val="28"/>
          <w:szCs w:val="28"/>
          <w:u w:val="single"/>
        </w:rPr>
        <w:t>西安航天城第一小学</w:t>
      </w:r>
    </w:p>
    <w:p>
      <w:pPr>
        <w:spacing w:line="500" w:lineRule="exact"/>
        <w:ind w:firstLine="548" w:firstLineChars="196"/>
        <w:rPr>
          <w:rFonts w:ascii="仿宋_GB2312" w:hAnsi="宋体" w:eastAsia="仿宋_GB2312"/>
          <w:color w:val="auto"/>
          <w:sz w:val="28"/>
          <w:szCs w:val="28"/>
        </w:rPr>
      </w:pPr>
      <w:r>
        <w:rPr>
          <w:rFonts w:ascii="仿宋_GB2312" w:hAnsi="宋体" w:eastAsia="仿宋_GB2312"/>
          <w:color w:val="auto"/>
          <w:sz w:val="28"/>
          <w:szCs w:val="28"/>
        </w:rPr>
        <w:t>我公司参加贵方组织的本项目</w:t>
      </w:r>
      <w:r>
        <w:rPr>
          <w:rFonts w:hint="eastAsia" w:ascii="仿宋_GB2312" w:hAnsi="宋体" w:eastAsia="仿宋_GB2312"/>
          <w:color w:val="auto"/>
          <w:sz w:val="28"/>
          <w:szCs w:val="28"/>
        </w:rPr>
        <w:t>政府</w:t>
      </w:r>
      <w:r>
        <w:rPr>
          <w:rFonts w:ascii="仿宋_GB2312" w:hAnsi="宋体" w:eastAsia="仿宋_GB2312"/>
          <w:color w:val="auto"/>
          <w:sz w:val="28"/>
          <w:szCs w:val="28"/>
        </w:rPr>
        <w:t>采购活动， 如我方获得</w:t>
      </w:r>
      <w:r>
        <w:rPr>
          <w:rFonts w:hint="eastAsia" w:ascii="仿宋_GB2312" w:hAnsi="宋体" w:eastAsia="仿宋_GB2312"/>
          <w:color w:val="auto"/>
          <w:sz w:val="28"/>
          <w:szCs w:val="28"/>
        </w:rPr>
        <w:t>中标</w:t>
      </w:r>
      <w:r>
        <w:rPr>
          <w:rFonts w:ascii="仿宋_GB2312" w:hAnsi="宋体" w:eastAsia="仿宋_GB2312"/>
          <w:color w:val="auto"/>
          <w:sz w:val="28"/>
          <w:szCs w:val="28"/>
        </w:rPr>
        <w:t>资格， 我方保证具备履行合同所必需的设备和专业技术能力，并承诺如下：</w:t>
      </w:r>
    </w:p>
    <w:p>
      <w:pPr>
        <w:spacing w:line="500" w:lineRule="exact"/>
        <w:ind w:firstLine="548" w:firstLineChars="196"/>
        <w:rPr>
          <w:rFonts w:ascii="仿宋_GB2312" w:hAnsi="宋体" w:eastAsia="仿宋_GB2312"/>
          <w:color w:val="auto"/>
          <w:sz w:val="28"/>
          <w:szCs w:val="28"/>
        </w:rPr>
      </w:pPr>
      <w:r>
        <w:rPr>
          <w:rFonts w:ascii="仿宋_GB2312" w:hAnsi="宋体" w:eastAsia="仿宋_GB2312"/>
          <w:color w:val="auto"/>
          <w:sz w:val="28"/>
          <w:szCs w:val="28"/>
        </w:rPr>
        <w:t>（一）具有独立承担民事责任的能力；</w:t>
      </w:r>
    </w:p>
    <w:p>
      <w:pPr>
        <w:spacing w:line="500" w:lineRule="exact"/>
        <w:ind w:firstLine="548" w:firstLineChars="196"/>
        <w:rPr>
          <w:rFonts w:ascii="仿宋_GB2312" w:hAnsi="宋体" w:eastAsia="仿宋_GB2312"/>
          <w:color w:val="auto"/>
          <w:sz w:val="28"/>
          <w:szCs w:val="28"/>
        </w:rPr>
      </w:pPr>
      <w:r>
        <w:rPr>
          <w:rFonts w:ascii="仿宋_GB2312" w:hAnsi="宋体" w:eastAsia="仿宋_GB2312"/>
          <w:color w:val="auto"/>
          <w:sz w:val="28"/>
          <w:szCs w:val="28"/>
        </w:rPr>
        <w:t>（二）具有良好的商业信誉和健全的财务会计制度；</w:t>
      </w:r>
    </w:p>
    <w:p>
      <w:pPr>
        <w:spacing w:line="500" w:lineRule="exact"/>
        <w:ind w:firstLine="548" w:firstLineChars="196"/>
        <w:rPr>
          <w:rFonts w:ascii="仿宋_GB2312" w:hAnsi="宋体" w:eastAsia="仿宋_GB2312"/>
          <w:color w:val="auto"/>
          <w:sz w:val="28"/>
          <w:szCs w:val="28"/>
        </w:rPr>
      </w:pPr>
      <w:r>
        <w:rPr>
          <w:rFonts w:ascii="仿宋_GB2312" w:hAnsi="宋体" w:eastAsia="仿宋_GB2312"/>
          <w:color w:val="auto"/>
          <w:sz w:val="28"/>
          <w:szCs w:val="28"/>
        </w:rPr>
        <w:t>（三）具有履行合同所必需的设备和专业技术能力；</w:t>
      </w:r>
    </w:p>
    <w:p>
      <w:pPr>
        <w:spacing w:line="500" w:lineRule="exact"/>
        <w:ind w:firstLine="548" w:firstLineChars="196"/>
        <w:rPr>
          <w:rFonts w:ascii="仿宋_GB2312" w:hAnsi="宋体" w:eastAsia="仿宋_GB2312"/>
          <w:color w:val="auto"/>
          <w:sz w:val="28"/>
          <w:szCs w:val="28"/>
        </w:rPr>
      </w:pPr>
      <w:r>
        <w:rPr>
          <w:rFonts w:ascii="仿宋_GB2312" w:hAnsi="宋体" w:eastAsia="仿宋_GB2312"/>
          <w:color w:val="auto"/>
          <w:sz w:val="28"/>
          <w:szCs w:val="28"/>
        </w:rPr>
        <w:t>（四）参加政府采购活动前三年内，在经营活动中没有重大违法记录；</w:t>
      </w:r>
    </w:p>
    <w:p>
      <w:pPr>
        <w:spacing w:line="500" w:lineRule="exact"/>
        <w:ind w:firstLine="548" w:firstLineChars="196"/>
        <w:rPr>
          <w:rFonts w:ascii="仿宋_GB2312" w:hAnsi="宋体" w:eastAsia="仿宋_GB2312"/>
          <w:color w:val="auto"/>
          <w:sz w:val="28"/>
          <w:szCs w:val="28"/>
        </w:rPr>
      </w:pPr>
      <w:r>
        <w:rPr>
          <w:rFonts w:ascii="仿宋_GB2312" w:hAnsi="宋体" w:eastAsia="仿宋_GB2312"/>
          <w:color w:val="auto"/>
          <w:sz w:val="28"/>
          <w:szCs w:val="28"/>
        </w:rPr>
        <w:t>（五）法律、行政法规规定的其他条件</w:t>
      </w:r>
      <w:r>
        <w:rPr>
          <w:rFonts w:hint="eastAsia" w:ascii="仿宋_GB2312" w:hAnsi="宋体" w:eastAsia="仿宋_GB2312"/>
          <w:color w:val="auto"/>
          <w:sz w:val="28"/>
          <w:szCs w:val="28"/>
        </w:rPr>
        <w:t>；</w:t>
      </w:r>
    </w:p>
    <w:p>
      <w:pPr>
        <w:spacing w:line="500" w:lineRule="exact"/>
        <w:ind w:firstLine="548" w:firstLineChars="196"/>
        <w:rPr>
          <w:rFonts w:ascii="仿宋_GB2312" w:hAnsi="宋体" w:eastAsia="仿宋_GB2312"/>
          <w:color w:val="auto"/>
          <w:sz w:val="28"/>
          <w:szCs w:val="28"/>
        </w:rPr>
      </w:pPr>
      <w:r>
        <w:rPr>
          <w:rFonts w:ascii="仿宋_GB2312" w:hAnsi="宋体" w:eastAsia="仿宋_GB2312"/>
          <w:color w:val="auto"/>
          <w:sz w:val="28"/>
          <w:szCs w:val="28"/>
        </w:rPr>
        <w:t>（六）我公司已完全了解本项目</w:t>
      </w:r>
      <w:r>
        <w:rPr>
          <w:rFonts w:hint="eastAsia" w:ascii="仿宋_GB2312" w:hAnsi="宋体" w:eastAsia="仿宋_GB2312"/>
          <w:color w:val="auto"/>
          <w:sz w:val="28"/>
          <w:szCs w:val="28"/>
        </w:rPr>
        <w:t>招标文件</w:t>
      </w:r>
      <w:r>
        <w:rPr>
          <w:rFonts w:ascii="仿宋_GB2312" w:hAnsi="宋体" w:eastAsia="仿宋_GB2312"/>
          <w:color w:val="auto"/>
          <w:sz w:val="28"/>
          <w:szCs w:val="28"/>
        </w:rPr>
        <w:t>中规定的技术要求和商务条款。</w:t>
      </w:r>
    </w:p>
    <w:p>
      <w:pPr>
        <w:spacing w:line="500" w:lineRule="exact"/>
        <w:ind w:firstLine="548" w:firstLineChars="196"/>
        <w:rPr>
          <w:rFonts w:ascii="仿宋_GB2312" w:hAnsi="宋体" w:eastAsia="仿宋_GB2312"/>
          <w:color w:val="auto"/>
          <w:sz w:val="28"/>
          <w:szCs w:val="28"/>
        </w:rPr>
      </w:pPr>
    </w:p>
    <w:p>
      <w:pPr>
        <w:spacing w:line="500" w:lineRule="exact"/>
        <w:ind w:firstLine="548" w:firstLineChars="196"/>
        <w:rPr>
          <w:rFonts w:ascii="仿宋_GB2312" w:hAnsi="宋体" w:eastAsia="仿宋_GB2312"/>
          <w:color w:val="auto"/>
          <w:sz w:val="28"/>
          <w:szCs w:val="28"/>
        </w:rPr>
      </w:pPr>
      <w:r>
        <w:rPr>
          <w:rFonts w:ascii="仿宋_GB2312" w:hAnsi="宋体" w:eastAsia="仿宋_GB2312"/>
          <w:color w:val="auto"/>
          <w:sz w:val="28"/>
          <w:szCs w:val="28"/>
        </w:rPr>
        <w:t>如违反以上承诺，本公司愿承担一切法律责任。</w:t>
      </w:r>
    </w:p>
    <w:p>
      <w:pPr>
        <w:spacing w:beforeLines="100" w:afterLines="100" w:line="480" w:lineRule="exact"/>
        <w:ind w:right="630" w:rightChars="300" w:firstLine="548" w:firstLineChars="196"/>
        <w:rPr>
          <w:rFonts w:ascii="仿宋_GB2312" w:hAnsi="宋体" w:eastAsia="仿宋_GB2312"/>
          <w:color w:val="auto"/>
          <w:sz w:val="28"/>
          <w:szCs w:val="28"/>
        </w:rPr>
      </w:pPr>
      <w:r>
        <w:rPr>
          <w:rFonts w:hint="eastAsia" w:ascii="仿宋_GB2312" w:hAnsi="宋体" w:eastAsia="仿宋_GB2312"/>
          <w:color w:val="auto"/>
          <w:sz w:val="28"/>
          <w:szCs w:val="28"/>
        </w:rPr>
        <w:t xml:space="preserve"> 特此声明</w:t>
      </w:r>
    </w:p>
    <w:p>
      <w:pPr>
        <w:wordWrap w:val="0"/>
        <w:snapToGrid w:val="0"/>
        <w:spacing w:line="460" w:lineRule="exact"/>
        <w:ind w:firstLine="3220" w:firstLineChars="1150"/>
        <w:rPr>
          <w:rFonts w:ascii="仿宋_GB2312" w:hAnsi="宋体" w:eastAsia="仿宋_GB2312" w:cs="宋体"/>
          <w:color w:val="auto"/>
          <w:sz w:val="28"/>
          <w:szCs w:val="28"/>
        </w:rPr>
      </w:pPr>
      <w:r>
        <w:rPr>
          <w:rFonts w:hint="eastAsia" w:ascii="仿宋_GB2312" w:hAnsi="宋体" w:eastAsia="仿宋_GB2312" w:cs="宋体"/>
          <w:color w:val="auto"/>
          <w:sz w:val="28"/>
          <w:szCs w:val="28"/>
        </w:rPr>
        <w:t>投标人：</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（公章）</w:t>
      </w:r>
    </w:p>
    <w:p>
      <w:pPr>
        <w:wordWrap w:val="0"/>
        <w:snapToGrid w:val="0"/>
        <w:spacing w:line="460" w:lineRule="exact"/>
        <w:ind w:firstLine="3220" w:firstLineChars="1150"/>
        <w:rPr>
          <w:rFonts w:ascii="仿宋_GB2312" w:hAnsi="宋体" w:eastAsia="仿宋_GB2312" w:cs="宋体"/>
          <w:color w:val="auto"/>
          <w:sz w:val="28"/>
          <w:szCs w:val="28"/>
        </w:rPr>
      </w:pPr>
    </w:p>
    <w:p>
      <w:pPr>
        <w:snapToGrid w:val="0"/>
        <w:spacing w:line="640" w:lineRule="exact"/>
        <w:ind w:firstLine="3091" w:firstLineChars="1104"/>
        <w:rPr>
          <w:rFonts w:ascii="仿宋_GB2312" w:hAnsi="宋体" w:eastAsia="仿宋_GB2312" w:cs="宋体"/>
          <w:color w:val="auto"/>
          <w:sz w:val="28"/>
          <w:szCs w:val="28"/>
        </w:rPr>
      </w:pPr>
      <w:r>
        <w:rPr>
          <w:rFonts w:hint="eastAsia" w:ascii="仿宋_GB2312" w:hAnsi="宋体" w:eastAsia="仿宋_GB2312" w:cs="宋体"/>
          <w:color w:val="auto"/>
          <w:sz w:val="28"/>
          <w:szCs w:val="28"/>
        </w:rPr>
        <w:t xml:space="preserve">法定代表人或其授权委托人：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（签字或盖章）</w:t>
      </w:r>
    </w:p>
    <w:p>
      <w:pPr>
        <w:wordWrap w:val="0"/>
        <w:snapToGrid w:val="0"/>
        <w:spacing w:line="460" w:lineRule="exact"/>
        <w:ind w:firstLine="3220" w:firstLineChars="1150"/>
        <w:rPr>
          <w:rFonts w:ascii="仿宋_GB2312" w:hAnsi="宋体" w:eastAsia="仿宋_GB2312" w:cs="宋体"/>
          <w:color w:val="auto"/>
          <w:sz w:val="28"/>
          <w:szCs w:val="28"/>
        </w:rPr>
      </w:pPr>
    </w:p>
    <w:p>
      <w:pPr>
        <w:wordWrap w:val="0"/>
        <w:spacing w:line="460" w:lineRule="exact"/>
        <w:ind w:left="3780" w:leftChars="1800" w:firstLine="560" w:firstLineChars="200"/>
        <w:rPr>
          <w:rFonts w:ascii="仿宋_GB2312" w:hAnsi="宋体" w:eastAsia="仿宋_GB2312" w:cs="宋体"/>
          <w:color w:val="auto"/>
          <w:sz w:val="28"/>
          <w:szCs w:val="28"/>
        </w:rPr>
      </w:pPr>
      <w:r>
        <w:rPr>
          <w:rFonts w:hint="eastAsia" w:ascii="仿宋_GB2312" w:hAnsi="宋体" w:eastAsia="仿宋_GB2312" w:cs="宋体"/>
          <w:color w:val="auto"/>
          <w:sz w:val="28"/>
          <w:szCs w:val="28"/>
        </w:rPr>
        <w:t xml:space="preserve">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 xml:space="preserve">年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 xml:space="preserve">月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日</w:t>
      </w:r>
    </w:p>
    <w:p>
      <w:pPr>
        <w:pStyle w:val="16"/>
        <w:spacing w:beforeLines="100" w:after="0" w:line="360" w:lineRule="auto"/>
        <w:ind w:left="0" w:leftChars="0"/>
        <w:jc w:val="left"/>
        <w:rPr>
          <w:rFonts w:ascii="黑体" w:hAnsi="宋体" w:eastAsia="黑体"/>
          <w:color w:val="auto"/>
          <w:sz w:val="36"/>
          <w:szCs w:val="36"/>
        </w:rPr>
      </w:pPr>
      <w:r>
        <w:rPr>
          <w:rFonts w:hint="eastAsia" w:ascii="黑体" w:hAnsi="宋体" w:eastAsia="黑体"/>
          <w:color w:val="auto"/>
          <w:sz w:val="36"/>
          <w:szCs w:val="36"/>
        </w:rPr>
        <w:t>10、参加政府采购活动前3年内在经营活动中没有重大违法记录的书面声明</w:t>
      </w:r>
    </w:p>
    <w:p>
      <w:pPr>
        <w:spacing w:afterLines="50" w:line="500" w:lineRule="exact"/>
        <w:ind w:right="630" w:rightChars="300"/>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致：</w:t>
      </w:r>
      <w:r>
        <w:rPr>
          <w:rFonts w:hint="eastAsia" w:ascii="仿宋_GB2312" w:hAnsi="宋体" w:eastAsia="仿宋_GB2312"/>
          <w:color w:val="auto"/>
          <w:sz w:val="28"/>
          <w:szCs w:val="28"/>
          <w:u w:val="single"/>
        </w:rPr>
        <w:t>西安航天城第一小学</w:t>
      </w:r>
    </w:p>
    <w:p>
      <w:pPr>
        <w:spacing w:line="500" w:lineRule="exact"/>
        <w:ind w:right="-21" w:rightChars="-10" w:firstLine="658" w:firstLineChars="235"/>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pPr>
        <w:tabs>
          <w:tab w:val="left" w:pos="10065"/>
        </w:tabs>
        <w:spacing w:line="500" w:lineRule="exact"/>
        <w:ind w:right="-21" w:rightChars="-10" w:firstLine="495" w:firstLineChars="177"/>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如发现我单位提供的声明不实时，我单位将按照《中华人民共和国政府采购法》及相关法律法规有关提供虚假材料的规定，接受处罚。</w:t>
      </w:r>
    </w:p>
    <w:p>
      <w:pPr>
        <w:spacing w:line="500" w:lineRule="exact"/>
        <w:ind w:right="1050" w:rightChars="500"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特此声明。</w:t>
      </w:r>
    </w:p>
    <w:p>
      <w:pPr>
        <w:spacing w:line="500" w:lineRule="exact"/>
        <w:ind w:right="1050" w:rightChars="500" w:firstLine="560" w:firstLineChars="200"/>
        <w:rPr>
          <w:rFonts w:ascii="仿宋_GB2312" w:hAnsi="仿宋_GB2312" w:eastAsia="仿宋_GB2312" w:cs="仿宋_GB2312"/>
          <w:color w:val="auto"/>
          <w:sz w:val="28"/>
          <w:szCs w:val="28"/>
        </w:rPr>
      </w:pPr>
    </w:p>
    <w:p>
      <w:pPr>
        <w:spacing w:beforeLines="50" w:afterLines="50" w:line="400" w:lineRule="exact"/>
        <w:ind w:right="1050" w:rightChars="500" w:firstLine="560" w:firstLineChars="200"/>
        <w:rPr>
          <w:rFonts w:ascii="仿宋_GB2312" w:hAnsi="仿宋_GB2312" w:eastAsia="仿宋_GB2312" w:cs="仿宋_GB2312"/>
          <w:color w:val="auto"/>
          <w:sz w:val="28"/>
          <w:szCs w:val="28"/>
        </w:rPr>
      </w:pPr>
    </w:p>
    <w:p>
      <w:pPr>
        <w:spacing w:beforeLines="50" w:afterLines="50" w:line="400" w:lineRule="exact"/>
        <w:ind w:right="1050" w:rightChars="500" w:firstLine="560" w:firstLineChars="200"/>
        <w:rPr>
          <w:rFonts w:ascii="仿宋_GB2312" w:hAnsi="仿宋_GB2312" w:eastAsia="仿宋_GB2312" w:cs="仿宋_GB2312"/>
          <w:color w:val="auto"/>
          <w:sz w:val="28"/>
          <w:szCs w:val="28"/>
        </w:rPr>
      </w:pPr>
    </w:p>
    <w:p>
      <w:pPr>
        <w:spacing w:line="360" w:lineRule="exact"/>
        <w:ind w:left="1050" w:leftChars="500" w:right="1050" w:rightChars="500" w:firstLine="560" w:firstLineChars="200"/>
        <w:rPr>
          <w:rFonts w:ascii="仿宋_GB2312" w:hAnsi="仿宋_GB2312" w:eastAsia="仿宋_GB2312" w:cs="仿宋_GB2312"/>
          <w:color w:val="auto"/>
          <w:sz w:val="28"/>
          <w:szCs w:val="28"/>
        </w:rPr>
      </w:pPr>
    </w:p>
    <w:p>
      <w:pPr>
        <w:spacing w:line="360" w:lineRule="exact"/>
        <w:ind w:left="3446" w:leftChars="200" w:right="1050" w:rightChars="500" w:hanging="3026" w:hangingChars="1081"/>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投标人：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（公章）</w:t>
      </w:r>
    </w:p>
    <w:p>
      <w:pPr>
        <w:spacing w:line="360" w:lineRule="exact"/>
        <w:ind w:left="3446" w:leftChars="200" w:right="1050" w:rightChars="500" w:hanging="3026" w:hangingChars="1081"/>
        <w:rPr>
          <w:rFonts w:ascii="仿宋_GB2312" w:hAnsi="仿宋_GB2312" w:eastAsia="仿宋_GB2312" w:cs="仿宋_GB2312"/>
          <w:color w:val="auto"/>
          <w:sz w:val="28"/>
          <w:szCs w:val="28"/>
        </w:rPr>
      </w:pPr>
    </w:p>
    <w:p>
      <w:pPr>
        <w:spacing w:line="360" w:lineRule="exact"/>
        <w:ind w:left="3446" w:leftChars="200" w:right="1050" w:rightChars="500" w:hanging="3026" w:hangingChars="1081"/>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法定代表人或其授权代表人：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(签字或盖章)</w:t>
      </w:r>
    </w:p>
    <w:p>
      <w:pPr>
        <w:spacing w:line="360" w:lineRule="exact"/>
        <w:ind w:left="3446" w:leftChars="200" w:right="1050" w:rightChars="500" w:hanging="3026" w:hangingChars="1081"/>
        <w:rPr>
          <w:rFonts w:ascii="仿宋_GB2312" w:hAnsi="仿宋_GB2312" w:eastAsia="仿宋_GB2312" w:cs="仿宋_GB2312"/>
          <w:color w:val="auto"/>
          <w:sz w:val="28"/>
          <w:szCs w:val="28"/>
          <w:u w:val="single"/>
        </w:rPr>
      </w:pPr>
    </w:p>
    <w:p>
      <w:pPr>
        <w:spacing w:line="360" w:lineRule="exact"/>
        <w:ind w:left="3446" w:leftChars="200" w:right="1050" w:rightChars="500" w:hanging="3026" w:hangingChars="1081"/>
        <w:rPr>
          <w:rFonts w:ascii="仿宋_GB2312" w:hAnsi="仿宋_GB2312" w:eastAsia="仿宋_GB2312" w:cs="仿宋_GB2312"/>
          <w:color w:val="auto"/>
          <w:sz w:val="28"/>
          <w:szCs w:val="28"/>
          <w:u w:val="single"/>
        </w:rPr>
      </w:pPr>
    </w:p>
    <w:p>
      <w:pPr>
        <w:spacing w:line="360" w:lineRule="exact"/>
        <w:ind w:left="2692" w:leftChars="1282" w:right="1050" w:rightChars="500"/>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日期：</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 xml:space="preserve">年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 xml:space="preserve">月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日</w:t>
      </w: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16"/>
        <w:spacing w:beforeLines="100" w:after="0" w:line="360" w:lineRule="auto"/>
        <w:ind w:left="0" w:leftChars="0"/>
        <w:jc w:val="left"/>
        <w:rPr>
          <w:rFonts w:ascii="黑体" w:hAnsi="宋体" w:eastAsia="黑体"/>
          <w:color w:val="auto"/>
          <w:sz w:val="36"/>
          <w:szCs w:val="36"/>
        </w:rPr>
      </w:pPr>
      <w:r>
        <w:rPr>
          <w:rFonts w:hint="eastAsia" w:ascii="黑体" w:hAnsi="宋体" w:eastAsia="黑体"/>
          <w:color w:val="auto"/>
          <w:sz w:val="36"/>
          <w:szCs w:val="36"/>
        </w:rPr>
        <w:t>11、近年发生的诉讼及仲裁情况表</w:t>
      </w:r>
    </w:p>
    <w:p>
      <w:pPr>
        <w:overflowPunct w:val="0"/>
        <w:topLinePunct/>
        <w:spacing w:line="440" w:lineRule="exact"/>
        <w:jc w:val="center"/>
        <w:rPr>
          <w:rFonts w:ascii="仿宋_GB2312" w:eastAsia="仿宋_GB2312" w:cs="宋体-18030"/>
          <w:color w:val="auto"/>
        </w:rPr>
      </w:pPr>
    </w:p>
    <w:tbl>
      <w:tblPr>
        <w:tblStyle w:val="24"/>
        <w:tblW w:w="9543" w:type="dxa"/>
        <w:tblInd w:w="288" w:type="dxa"/>
        <w:tblLayout w:type="fixed"/>
        <w:tblCellMar>
          <w:top w:w="0" w:type="dxa"/>
          <w:left w:w="108" w:type="dxa"/>
          <w:bottom w:w="0" w:type="dxa"/>
          <w:right w:w="108" w:type="dxa"/>
        </w:tblCellMar>
      </w:tblPr>
      <w:tblGrid>
        <w:gridCol w:w="813"/>
        <w:gridCol w:w="1514"/>
        <w:gridCol w:w="4735"/>
        <w:gridCol w:w="2481"/>
      </w:tblGrid>
      <w:tr>
        <w:tblPrEx>
          <w:tblCellMar>
            <w:top w:w="0" w:type="dxa"/>
            <w:left w:w="108" w:type="dxa"/>
            <w:bottom w:w="0" w:type="dxa"/>
            <w:right w:w="108" w:type="dxa"/>
          </w:tblCellMar>
        </w:tblPrEx>
        <w:trPr>
          <w:trHeight w:val="957" w:hRule="atLeast"/>
        </w:trPr>
        <w:tc>
          <w:tcPr>
            <w:tcW w:w="813"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360" w:lineRule="exact"/>
              <w:jc w:val="center"/>
              <w:rPr>
                <w:rFonts w:ascii="仿宋_GB2312" w:eastAsia="仿宋_GB2312"/>
                <w:color w:val="auto"/>
                <w:sz w:val="24"/>
              </w:rPr>
            </w:pPr>
            <w:r>
              <w:rPr>
                <w:rFonts w:hint="eastAsia" w:ascii="仿宋_GB2312" w:hAnsi="宋体" w:eastAsia="仿宋_GB2312"/>
                <w:color w:val="auto"/>
                <w:sz w:val="24"/>
              </w:rPr>
              <w:t>序</w:t>
            </w:r>
          </w:p>
          <w:p>
            <w:pPr>
              <w:overflowPunct w:val="0"/>
              <w:topLinePunct/>
              <w:spacing w:line="360" w:lineRule="exact"/>
              <w:jc w:val="center"/>
              <w:rPr>
                <w:rFonts w:ascii="仿宋_GB2312" w:eastAsia="仿宋_GB2312"/>
                <w:color w:val="auto"/>
                <w:sz w:val="24"/>
              </w:rPr>
            </w:pPr>
            <w:r>
              <w:rPr>
                <w:rFonts w:hint="eastAsia" w:ascii="仿宋_GB2312" w:hAnsi="宋体" w:eastAsia="仿宋_GB2312"/>
                <w:color w:val="auto"/>
                <w:sz w:val="24"/>
              </w:rPr>
              <w:t>号</w:t>
            </w:r>
          </w:p>
        </w:tc>
        <w:tc>
          <w:tcPr>
            <w:tcW w:w="1514"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360" w:lineRule="exact"/>
              <w:jc w:val="center"/>
              <w:rPr>
                <w:rFonts w:ascii="仿宋_GB2312" w:eastAsia="仿宋_GB2312"/>
                <w:color w:val="auto"/>
                <w:sz w:val="24"/>
              </w:rPr>
            </w:pPr>
            <w:r>
              <w:rPr>
                <w:rFonts w:hint="eastAsia" w:ascii="仿宋_GB2312" w:hAnsi="宋体" w:eastAsia="仿宋_GB2312"/>
                <w:color w:val="auto"/>
                <w:sz w:val="24"/>
              </w:rPr>
              <w:t>仲裁日期</w:t>
            </w:r>
          </w:p>
        </w:tc>
        <w:tc>
          <w:tcPr>
            <w:tcW w:w="4735"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360" w:lineRule="exact"/>
              <w:jc w:val="center"/>
              <w:rPr>
                <w:rFonts w:ascii="仿宋_GB2312" w:eastAsia="仿宋_GB2312"/>
                <w:color w:val="auto"/>
                <w:sz w:val="24"/>
              </w:rPr>
            </w:pPr>
            <w:r>
              <w:rPr>
                <w:rFonts w:hint="eastAsia" w:ascii="仿宋_GB2312" w:hAnsi="宋体" w:eastAsia="仿宋_GB2312"/>
                <w:color w:val="auto"/>
                <w:sz w:val="24"/>
              </w:rPr>
              <w:t>仲裁事由及原因</w:t>
            </w:r>
          </w:p>
        </w:tc>
        <w:tc>
          <w:tcPr>
            <w:tcW w:w="2481"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360" w:lineRule="exact"/>
              <w:jc w:val="center"/>
              <w:rPr>
                <w:rFonts w:ascii="仿宋_GB2312" w:eastAsia="仿宋_GB2312"/>
                <w:color w:val="auto"/>
                <w:sz w:val="24"/>
              </w:rPr>
            </w:pPr>
            <w:r>
              <w:rPr>
                <w:rFonts w:hint="eastAsia" w:ascii="仿宋_GB2312" w:hAnsi="宋体" w:eastAsia="仿宋_GB2312"/>
                <w:color w:val="auto"/>
                <w:sz w:val="24"/>
              </w:rPr>
              <w:t>裁决结果</w:t>
            </w:r>
          </w:p>
          <w:p>
            <w:pPr>
              <w:overflowPunct w:val="0"/>
              <w:topLinePunct/>
              <w:spacing w:line="360" w:lineRule="exact"/>
              <w:jc w:val="center"/>
              <w:rPr>
                <w:rFonts w:ascii="仿宋_GB2312" w:eastAsia="仿宋_GB2312"/>
                <w:color w:val="auto"/>
                <w:sz w:val="24"/>
              </w:rPr>
            </w:pPr>
            <w:r>
              <w:rPr>
                <w:rFonts w:hint="eastAsia" w:ascii="仿宋_GB2312" w:hAnsi="宋体" w:eastAsia="仿宋_GB2312"/>
                <w:color w:val="auto"/>
                <w:sz w:val="24"/>
              </w:rPr>
              <w:t>（胜诉/败诉）</w:t>
            </w:r>
          </w:p>
        </w:tc>
      </w:tr>
      <w:tr>
        <w:tblPrEx>
          <w:tblCellMar>
            <w:top w:w="0" w:type="dxa"/>
            <w:left w:w="108" w:type="dxa"/>
            <w:bottom w:w="0" w:type="dxa"/>
            <w:right w:w="108" w:type="dxa"/>
          </w:tblCellMar>
        </w:tblPrEx>
        <w:trPr>
          <w:trHeight w:val="517" w:hRule="atLeast"/>
        </w:trPr>
        <w:tc>
          <w:tcPr>
            <w:tcW w:w="813" w:type="dxa"/>
            <w:tcBorders>
              <w:top w:val="single" w:color="auto" w:sz="4" w:space="0"/>
              <w:left w:val="single" w:color="auto" w:sz="4" w:space="0"/>
              <w:bottom w:val="single" w:color="auto" w:sz="4" w:space="0"/>
              <w:right w:val="single" w:color="auto" w:sz="4" w:space="0"/>
            </w:tcBorders>
          </w:tcPr>
          <w:p>
            <w:pPr>
              <w:overflowPunct w:val="0"/>
              <w:topLinePunct/>
              <w:spacing w:line="440" w:lineRule="exact"/>
              <w:jc w:val="center"/>
              <w:rPr>
                <w:rFonts w:ascii="仿宋_GB2312" w:hAnsi="宋体" w:eastAsia="仿宋_GB2312"/>
                <w:color w:val="auto"/>
                <w:sz w:val="24"/>
              </w:rPr>
            </w:pPr>
            <w:r>
              <w:rPr>
                <w:rFonts w:hint="eastAsia" w:ascii="仿宋_GB2312" w:hAnsi="宋体" w:eastAsia="仿宋_GB2312"/>
                <w:color w:val="auto"/>
                <w:sz w:val="24"/>
              </w:rPr>
              <w:t>1</w:t>
            </w:r>
          </w:p>
        </w:tc>
        <w:tc>
          <w:tcPr>
            <w:tcW w:w="1514" w:type="dxa"/>
            <w:tcBorders>
              <w:top w:val="single" w:color="auto" w:sz="4" w:space="0"/>
              <w:left w:val="single" w:color="auto" w:sz="4" w:space="0"/>
              <w:bottom w:val="single" w:color="auto" w:sz="4" w:space="0"/>
              <w:right w:val="single" w:color="auto" w:sz="4" w:space="0"/>
            </w:tcBorders>
          </w:tcPr>
          <w:p>
            <w:pPr>
              <w:overflowPunct w:val="0"/>
              <w:topLinePunct/>
              <w:spacing w:line="440" w:lineRule="exact"/>
              <w:rPr>
                <w:rFonts w:ascii="仿宋_GB2312" w:eastAsia="仿宋_GB2312"/>
                <w:color w:val="auto"/>
                <w:sz w:val="24"/>
              </w:rPr>
            </w:pPr>
          </w:p>
        </w:tc>
        <w:tc>
          <w:tcPr>
            <w:tcW w:w="4735" w:type="dxa"/>
            <w:tcBorders>
              <w:top w:val="single" w:color="auto" w:sz="4" w:space="0"/>
              <w:left w:val="single" w:color="auto" w:sz="4" w:space="0"/>
              <w:bottom w:val="single" w:color="auto" w:sz="4" w:space="0"/>
              <w:right w:val="single" w:color="auto" w:sz="4" w:space="0"/>
            </w:tcBorders>
          </w:tcPr>
          <w:p>
            <w:pPr>
              <w:overflowPunct w:val="0"/>
              <w:topLinePunct/>
              <w:spacing w:line="440" w:lineRule="exact"/>
              <w:rPr>
                <w:rFonts w:ascii="仿宋_GB2312" w:eastAsia="仿宋_GB2312"/>
                <w:color w:val="auto"/>
                <w:sz w:val="24"/>
              </w:rPr>
            </w:pPr>
          </w:p>
        </w:tc>
        <w:tc>
          <w:tcPr>
            <w:tcW w:w="2481" w:type="dxa"/>
            <w:tcBorders>
              <w:top w:val="single" w:color="auto" w:sz="4" w:space="0"/>
              <w:left w:val="single" w:color="auto" w:sz="4" w:space="0"/>
              <w:bottom w:val="single" w:color="auto" w:sz="4" w:space="0"/>
              <w:right w:val="single" w:color="auto" w:sz="4" w:space="0"/>
            </w:tcBorders>
          </w:tcPr>
          <w:p>
            <w:pPr>
              <w:overflowPunct w:val="0"/>
              <w:topLinePunct/>
              <w:spacing w:line="440" w:lineRule="exact"/>
              <w:ind w:firstLine="480" w:firstLineChars="200"/>
              <w:rPr>
                <w:rFonts w:ascii="仿宋_GB2312" w:eastAsia="仿宋_GB2312"/>
                <w:color w:val="auto"/>
                <w:sz w:val="24"/>
              </w:rPr>
            </w:pPr>
          </w:p>
        </w:tc>
      </w:tr>
      <w:tr>
        <w:tblPrEx>
          <w:tblCellMar>
            <w:top w:w="0" w:type="dxa"/>
            <w:left w:w="108" w:type="dxa"/>
            <w:bottom w:w="0" w:type="dxa"/>
            <w:right w:w="108" w:type="dxa"/>
          </w:tblCellMar>
        </w:tblPrEx>
        <w:trPr>
          <w:trHeight w:val="517" w:hRule="atLeast"/>
        </w:trPr>
        <w:tc>
          <w:tcPr>
            <w:tcW w:w="813" w:type="dxa"/>
            <w:tcBorders>
              <w:top w:val="single" w:color="auto" w:sz="4" w:space="0"/>
              <w:left w:val="single" w:color="auto" w:sz="4" w:space="0"/>
              <w:bottom w:val="single" w:color="auto" w:sz="4" w:space="0"/>
              <w:right w:val="single" w:color="auto" w:sz="4" w:space="0"/>
            </w:tcBorders>
          </w:tcPr>
          <w:p>
            <w:pPr>
              <w:overflowPunct w:val="0"/>
              <w:topLinePunct/>
              <w:spacing w:line="440" w:lineRule="exact"/>
              <w:jc w:val="center"/>
              <w:rPr>
                <w:rFonts w:ascii="仿宋_GB2312" w:hAnsi="宋体" w:eastAsia="仿宋_GB2312"/>
                <w:color w:val="auto"/>
                <w:sz w:val="24"/>
              </w:rPr>
            </w:pPr>
            <w:r>
              <w:rPr>
                <w:rFonts w:hint="eastAsia" w:ascii="仿宋_GB2312" w:hAnsi="宋体" w:eastAsia="仿宋_GB2312"/>
                <w:color w:val="auto"/>
                <w:sz w:val="24"/>
              </w:rPr>
              <w:t>2</w:t>
            </w:r>
          </w:p>
        </w:tc>
        <w:tc>
          <w:tcPr>
            <w:tcW w:w="1514" w:type="dxa"/>
            <w:tcBorders>
              <w:top w:val="single" w:color="auto" w:sz="4" w:space="0"/>
              <w:left w:val="single" w:color="auto" w:sz="4" w:space="0"/>
              <w:bottom w:val="single" w:color="auto" w:sz="4" w:space="0"/>
              <w:right w:val="single" w:color="auto" w:sz="4" w:space="0"/>
            </w:tcBorders>
          </w:tcPr>
          <w:p>
            <w:pPr>
              <w:overflowPunct w:val="0"/>
              <w:topLinePunct/>
              <w:spacing w:line="440" w:lineRule="exact"/>
              <w:rPr>
                <w:rFonts w:ascii="仿宋_GB2312" w:eastAsia="仿宋_GB2312"/>
                <w:color w:val="auto"/>
                <w:sz w:val="24"/>
              </w:rPr>
            </w:pPr>
          </w:p>
        </w:tc>
        <w:tc>
          <w:tcPr>
            <w:tcW w:w="4735" w:type="dxa"/>
            <w:tcBorders>
              <w:top w:val="single" w:color="auto" w:sz="4" w:space="0"/>
              <w:left w:val="single" w:color="auto" w:sz="4" w:space="0"/>
              <w:bottom w:val="single" w:color="auto" w:sz="4" w:space="0"/>
              <w:right w:val="single" w:color="auto" w:sz="4" w:space="0"/>
            </w:tcBorders>
          </w:tcPr>
          <w:p>
            <w:pPr>
              <w:overflowPunct w:val="0"/>
              <w:topLinePunct/>
              <w:spacing w:line="440" w:lineRule="exact"/>
              <w:rPr>
                <w:rFonts w:ascii="仿宋_GB2312" w:eastAsia="仿宋_GB2312"/>
                <w:color w:val="auto"/>
                <w:sz w:val="24"/>
              </w:rPr>
            </w:pPr>
          </w:p>
        </w:tc>
        <w:tc>
          <w:tcPr>
            <w:tcW w:w="2481" w:type="dxa"/>
            <w:tcBorders>
              <w:top w:val="single" w:color="auto" w:sz="4" w:space="0"/>
              <w:left w:val="single" w:color="auto" w:sz="4" w:space="0"/>
              <w:bottom w:val="single" w:color="auto" w:sz="4" w:space="0"/>
              <w:right w:val="single" w:color="auto" w:sz="4" w:space="0"/>
            </w:tcBorders>
          </w:tcPr>
          <w:p>
            <w:pPr>
              <w:overflowPunct w:val="0"/>
              <w:topLinePunct/>
              <w:spacing w:line="440" w:lineRule="exact"/>
              <w:ind w:firstLine="480" w:firstLineChars="200"/>
              <w:rPr>
                <w:rFonts w:ascii="仿宋_GB2312" w:eastAsia="仿宋_GB2312"/>
                <w:color w:val="auto"/>
                <w:sz w:val="24"/>
              </w:rPr>
            </w:pPr>
          </w:p>
        </w:tc>
      </w:tr>
      <w:tr>
        <w:tblPrEx>
          <w:tblCellMar>
            <w:top w:w="0" w:type="dxa"/>
            <w:left w:w="108" w:type="dxa"/>
            <w:bottom w:w="0" w:type="dxa"/>
            <w:right w:w="108" w:type="dxa"/>
          </w:tblCellMar>
        </w:tblPrEx>
        <w:trPr>
          <w:trHeight w:val="517" w:hRule="atLeast"/>
        </w:trPr>
        <w:tc>
          <w:tcPr>
            <w:tcW w:w="9543" w:type="dxa"/>
            <w:gridSpan w:val="4"/>
            <w:tcBorders>
              <w:top w:val="single" w:color="auto" w:sz="4" w:space="0"/>
              <w:bottom w:val="single" w:color="auto" w:sz="4" w:space="0"/>
            </w:tcBorders>
          </w:tcPr>
          <w:p>
            <w:pPr>
              <w:overflowPunct w:val="0"/>
              <w:topLinePunct/>
              <w:spacing w:line="440" w:lineRule="exact"/>
              <w:rPr>
                <w:rFonts w:ascii="仿宋_GB2312" w:eastAsia="仿宋_GB2312"/>
                <w:color w:val="auto"/>
                <w:sz w:val="24"/>
              </w:rPr>
            </w:pPr>
          </w:p>
        </w:tc>
      </w:tr>
      <w:tr>
        <w:tblPrEx>
          <w:tblCellMar>
            <w:top w:w="0" w:type="dxa"/>
            <w:left w:w="108" w:type="dxa"/>
            <w:bottom w:w="0" w:type="dxa"/>
            <w:right w:w="108" w:type="dxa"/>
          </w:tblCellMar>
        </w:tblPrEx>
        <w:trPr>
          <w:trHeight w:val="975" w:hRule="atLeast"/>
        </w:trPr>
        <w:tc>
          <w:tcPr>
            <w:tcW w:w="813"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360" w:lineRule="exact"/>
              <w:jc w:val="center"/>
              <w:rPr>
                <w:rFonts w:ascii="仿宋_GB2312" w:eastAsia="仿宋_GB2312"/>
                <w:color w:val="auto"/>
                <w:sz w:val="24"/>
              </w:rPr>
            </w:pPr>
            <w:r>
              <w:rPr>
                <w:rFonts w:hint="eastAsia" w:ascii="仿宋_GB2312" w:hAnsi="宋体" w:eastAsia="仿宋_GB2312"/>
                <w:color w:val="auto"/>
                <w:sz w:val="24"/>
              </w:rPr>
              <w:t>序</w:t>
            </w:r>
          </w:p>
          <w:p>
            <w:pPr>
              <w:overflowPunct w:val="0"/>
              <w:topLinePunct/>
              <w:spacing w:line="360" w:lineRule="exact"/>
              <w:jc w:val="center"/>
              <w:rPr>
                <w:rFonts w:ascii="仿宋_GB2312" w:eastAsia="仿宋_GB2312"/>
                <w:color w:val="auto"/>
                <w:sz w:val="24"/>
              </w:rPr>
            </w:pPr>
            <w:r>
              <w:rPr>
                <w:rFonts w:hint="eastAsia" w:ascii="仿宋_GB2312" w:hAnsi="宋体" w:eastAsia="仿宋_GB2312"/>
                <w:color w:val="auto"/>
                <w:sz w:val="24"/>
              </w:rPr>
              <w:t>号</w:t>
            </w:r>
          </w:p>
        </w:tc>
        <w:tc>
          <w:tcPr>
            <w:tcW w:w="1514"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360" w:lineRule="exact"/>
              <w:jc w:val="center"/>
              <w:rPr>
                <w:rFonts w:ascii="仿宋_GB2312" w:eastAsia="仿宋_GB2312"/>
                <w:bCs/>
                <w:color w:val="auto"/>
                <w:sz w:val="24"/>
              </w:rPr>
            </w:pPr>
            <w:r>
              <w:rPr>
                <w:rFonts w:hint="eastAsia" w:ascii="仿宋_GB2312" w:hAnsi="宋体" w:eastAsia="仿宋_GB2312"/>
                <w:color w:val="auto"/>
                <w:sz w:val="24"/>
              </w:rPr>
              <w:t>诉讼日期</w:t>
            </w:r>
          </w:p>
        </w:tc>
        <w:tc>
          <w:tcPr>
            <w:tcW w:w="4735"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360" w:lineRule="exact"/>
              <w:jc w:val="center"/>
              <w:rPr>
                <w:rFonts w:ascii="仿宋_GB2312" w:eastAsia="仿宋_GB2312"/>
                <w:color w:val="auto"/>
                <w:sz w:val="24"/>
              </w:rPr>
            </w:pPr>
            <w:r>
              <w:rPr>
                <w:rFonts w:hint="eastAsia" w:ascii="仿宋_GB2312" w:hAnsi="宋体" w:eastAsia="仿宋_GB2312"/>
                <w:color w:val="auto"/>
                <w:sz w:val="24"/>
              </w:rPr>
              <w:t>诉讼事由及原因</w:t>
            </w:r>
          </w:p>
        </w:tc>
        <w:tc>
          <w:tcPr>
            <w:tcW w:w="2481"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360" w:lineRule="exact"/>
              <w:jc w:val="center"/>
              <w:rPr>
                <w:rFonts w:ascii="仿宋_GB2312" w:eastAsia="仿宋_GB2312"/>
                <w:color w:val="auto"/>
                <w:sz w:val="24"/>
              </w:rPr>
            </w:pPr>
            <w:r>
              <w:rPr>
                <w:rFonts w:hint="eastAsia" w:ascii="仿宋_GB2312" w:hAnsi="宋体" w:eastAsia="仿宋_GB2312"/>
                <w:color w:val="auto"/>
                <w:sz w:val="24"/>
              </w:rPr>
              <w:t>判决结果</w:t>
            </w:r>
          </w:p>
          <w:p>
            <w:pPr>
              <w:overflowPunct w:val="0"/>
              <w:topLinePunct/>
              <w:spacing w:line="360" w:lineRule="exact"/>
              <w:jc w:val="center"/>
              <w:rPr>
                <w:rFonts w:ascii="仿宋_GB2312" w:eastAsia="仿宋_GB2312"/>
                <w:color w:val="auto"/>
                <w:sz w:val="24"/>
              </w:rPr>
            </w:pPr>
            <w:r>
              <w:rPr>
                <w:rFonts w:hint="eastAsia" w:ascii="仿宋_GB2312" w:hAnsi="宋体" w:eastAsia="仿宋_GB2312"/>
                <w:color w:val="auto"/>
                <w:sz w:val="24"/>
              </w:rPr>
              <w:t>（胜诉/败诉）</w:t>
            </w:r>
          </w:p>
        </w:tc>
      </w:tr>
      <w:tr>
        <w:tblPrEx>
          <w:tblCellMar>
            <w:top w:w="0" w:type="dxa"/>
            <w:left w:w="108" w:type="dxa"/>
            <w:bottom w:w="0" w:type="dxa"/>
            <w:right w:w="108" w:type="dxa"/>
          </w:tblCellMar>
        </w:tblPrEx>
        <w:trPr>
          <w:trHeight w:val="517" w:hRule="atLeast"/>
        </w:trPr>
        <w:tc>
          <w:tcPr>
            <w:tcW w:w="813" w:type="dxa"/>
            <w:tcBorders>
              <w:top w:val="single" w:color="auto" w:sz="4" w:space="0"/>
              <w:left w:val="single" w:color="auto" w:sz="4" w:space="0"/>
              <w:bottom w:val="single" w:color="auto" w:sz="4" w:space="0"/>
              <w:right w:val="single" w:color="auto" w:sz="4" w:space="0"/>
            </w:tcBorders>
          </w:tcPr>
          <w:p>
            <w:pPr>
              <w:overflowPunct w:val="0"/>
              <w:topLinePunct/>
              <w:spacing w:line="440" w:lineRule="exact"/>
              <w:jc w:val="center"/>
              <w:rPr>
                <w:rFonts w:ascii="仿宋_GB2312" w:hAnsi="宋体" w:eastAsia="仿宋_GB2312"/>
                <w:color w:val="auto"/>
                <w:sz w:val="24"/>
              </w:rPr>
            </w:pPr>
            <w:r>
              <w:rPr>
                <w:rFonts w:hint="eastAsia" w:ascii="仿宋_GB2312" w:hAnsi="宋体" w:eastAsia="仿宋_GB2312"/>
                <w:color w:val="auto"/>
                <w:sz w:val="24"/>
              </w:rPr>
              <w:t>1</w:t>
            </w:r>
          </w:p>
        </w:tc>
        <w:tc>
          <w:tcPr>
            <w:tcW w:w="1514" w:type="dxa"/>
            <w:tcBorders>
              <w:top w:val="single" w:color="auto" w:sz="4" w:space="0"/>
              <w:left w:val="single" w:color="auto" w:sz="4" w:space="0"/>
              <w:bottom w:val="single" w:color="auto" w:sz="4" w:space="0"/>
              <w:right w:val="single" w:color="auto" w:sz="4" w:space="0"/>
            </w:tcBorders>
          </w:tcPr>
          <w:p>
            <w:pPr>
              <w:overflowPunct w:val="0"/>
              <w:topLinePunct/>
              <w:spacing w:line="440" w:lineRule="exact"/>
              <w:rPr>
                <w:rFonts w:ascii="仿宋_GB2312" w:eastAsia="仿宋_GB2312"/>
                <w:color w:val="auto"/>
                <w:sz w:val="24"/>
              </w:rPr>
            </w:pPr>
          </w:p>
        </w:tc>
        <w:tc>
          <w:tcPr>
            <w:tcW w:w="4735" w:type="dxa"/>
            <w:tcBorders>
              <w:top w:val="single" w:color="auto" w:sz="4" w:space="0"/>
              <w:left w:val="single" w:color="auto" w:sz="4" w:space="0"/>
              <w:bottom w:val="single" w:color="auto" w:sz="4" w:space="0"/>
              <w:right w:val="single" w:color="auto" w:sz="4" w:space="0"/>
            </w:tcBorders>
          </w:tcPr>
          <w:p>
            <w:pPr>
              <w:overflowPunct w:val="0"/>
              <w:topLinePunct/>
              <w:spacing w:line="440" w:lineRule="exact"/>
              <w:rPr>
                <w:rFonts w:ascii="仿宋_GB2312" w:eastAsia="仿宋_GB2312"/>
                <w:color w:val="auto"/>
                <w:sz w:val="24"/>
              </w:rPr>
            </w:pPr>
          </w:p>
        </w:tc>
        <w:tc>
          <w:tcPr>
            <w:tcW w:w="2481" w:type="dxa"/>
            <w:tcBorders>
              <w:top w:val="single" w:color="auto" w:sz="4" w:space="0"/>
              <w:left w:val="single" w:color="auto" w:sz="4" w:space="0"/>
              <w:bottom w:val="single" w:color="auto" w:sz="4" w:space="0"/>
              <w:right w:val="single" w:color="auto" w:sz="4" w:space="0"/>
            </w:tcBorders>
          </w:tcPr>
          <w:p>
            <w:pPr>
              <w:overflowPunct w:val="0"/>
              <w:topLinePunct/>
              <w:spacing w:line="440" w:lineRule="exact"/>
              <w:ind w:firstLine="480" w:firstLineChars="200"/>
              <w:rPr>
                <w:rFonts w:ascii="仿宋_GB2312" w:eastAsia="仿宋_GB2312"/>
                <w:color w:val="auto"/>
                <w:sz w:val="24"/>
              </w:rPr>
            </w:pPr>
          </w:p>
        </w:tc>
      </w:tr>
      <w:tr>
        <w:tblPrEx>
          <w:tblCellMar>
            <w:top w:w="0" w:type="dxa"/>
            <w:left w:w="108" w:type="dxa"/>
            <w:bottom w:w="0" w:type="dxa"/>
            <w:right w:w="108" w:type="dxa"/>
          </w:tblCellMar>
        </w:tblPrEx>
        <w:trPr>
          <w:trHeight w:val="535" w:hRule="atLeast"/>
        </w:trPr>
        <w:tc>
          <w:tcPr>
            <w:tcW w:w="813" w:type="dxa"/>
            <w:tcBorders>
              <w:top w:val="single" w:color="auto" w:sz="4" w:space="0"/>
              <w:left w:val="single" w:color="auto" w:sz="4" w:space="0"/>
              <w:bottom w:val="single" w:color="auto" w:sz="4" w:space="0"/>
              <w:right w:val="single" w:color="auto" w:sz="4" w:space="0"/>
            </w:tcBorders>
          </w:tcPr>
          <w:p>
            <w:pPr>
              <w:overflowPunct w:val="0"/>
              <w:topLinePunct/>
              <w:spacing w:line="440" w:lineRule="exact"/>
              <w:jc w:val="center"/>
              <w:rPr>
                <w:rFonts w:ascii="仿宋_GB2312" w:hAnsi="宋体" w:eastAsia="仿宋_GB2312"/>
                <w:color w:val="auto"/>
                <w:sz w:val="24"/>
              </w:rPr>
            </w:pPr>
            <w:r>
              <w:rPr>
                <w:rFonts w:hint="eastAsia" w:ascii="仿宋_GB2312" w:hAnsi="宋体" w:eastAsia="仿宋_GB2312"/>
                <w:color w:val="auto"/>
                <w:sz w:val="24"/>
              </w:rPr>
              <w:t>2</w:t>
            </w:r>
          </w:p>
        </w:tc>
        <w:tc>
          <w:tcPr>
            <w:tcW w:w="1514" w:type="dxa"/>
            <w:tcBorders>
              <w:top w:val="single" w:color="auto" w:sz="4" w:space="0"/>
              <w:left w:val="single" w:color="auto" w:sz="4" w:space="0"/>
              <w:bottom w:val="single" w:color="auto" w:sz="4" w:space="0"/>
              <w:right w:val="single" w:color="auto" w:sz="4" w:space="0"/>
            </w:tcBorders>
          </w:tcPr>
          <w:p>
            <w:pPr>
              <w:overflowPunct w:val="0"/>
              <w:topLinePunct/>
              <w:spacing w:line="440" w:lineRule="exact"/>
              <w:rPr>
                <w:rFonts w:ascii="仿宋_GB2312" w:eastAsia="仿宋_GB2312"/>
                <w:color w:val="auto"/>
                <w:sz w:val="24"/>
              </w:rPr>
            </w:pPr>
          </w:p>
        </w:tc>
        <w:tc>
          <w:tcPr>
            <w:tcW w:w="4735" w:type="dxa"/>
            <w:tcBorders>
              <w:top w:val="single" w:color="auto" w:sz="4" w:space="0"/>
              <w:left w:val="single" w:color="auto" w:sz="4" w:space="0"/>
              <w:bottom w:val="single" w:color="auto" w:sz="4" w:space="0"/>
              <w:right w:val="single" w:color="auto" w:sz="4" w:space="0"/>
            </w:tcBorders>
          </w:tcPr>
          <w:p>
            <w:pPr>
              <w:overflowPunct w:val="0"/>
              <w:topLinePunct/>
              <w:spacing w:line="440" w:lineRule="exact"/>
              <w:rPr>
                <w:rFonts w:ascii="仿宋_GB2312" w:eastAsia="仿宋_GB2312"/>
                <w:color w:val="auto"/>
                <w:sz w:val="24"/>
              </w:rPr>
            </w:pPr>
          </w:p>
        </w:tc>
        <w:tc>
          <w:tcPr>
            <w:tcW w:w="2481" w:type="dxa"/>
            <w:tcBorders>
              <w:top w:val="single" w:color="auto" w:sz="4" w:space="0"/>
              <w:left w:val="single" w:color="auto" w:sz="4" w:space="0"/>
              <w:bottom w:val="single" w:color="auto" w:sz="4" w:space="0"/>
              <w:right w:val="single" w:color="auto" w:sz="4" w:space="0"/>
            </w:tcBorders>
          </w:tcPr>
          <w:p>
            <w:pPr>
              <w:overflowPunct w:val="0"/>
              <w:topLinePunct/>
              <w:spacing w:line="440" w:lineRule="exact"/>
              <w:ind w:firstLine="480" w:firstLineChars="200"/>
              <w:rPr>
                <w:rFonts w:ascii="仿宋_GB2312" w:eastAsia="仿宋_GB2312"/>
                <w:color w:val="auto"/>
                <w:sz w:val="24"/>
              </w:rPr>
            </w:pPr>
          </w:p>
        </w:tc>
      </w:tr>
    </w:tbl>
    <w:p>
      <w:pPr>
        <w:overflowPunct w:val="0"/>
        <w:topLinePunct/>
        <w:spacing w:line="280" w:lineRule="exact"/>
        <w:ind w:firstLine="480" w:firstLineChars="200"/>
        <w:rPr>
          <w:rFonts w:ascii="仿宋_GB2312" w:eastAsia="仿宋_GB2312"/>
          <w:color w:val="auto"/>
          <w:sz w:val="24"/>
        </w:rPr>
      </w:pPr>
      <w:r>
        <w:rPr>
          <w:rFonts w:hint="eastAsia" w:ascii="仿宋_GB2312" w:hAnsi="宋体" w:eastAsia="仿宋_GB2312"/>
          <w:color w:val="auto"/>
          <w:sz w:val="24"/>
        </w:rPr>
        <w:t>说明：1.须如实填写本表，未如实填写的一经查实，后果自负。</w:t>
      </w:r>
    </w:p>
    <w:p>
      <w:pPr>
        <w:overflowPunct w:val="0"/>
        <w:topLinePunct/>
        <w:spacing w:line="280" w:lineRule="exact"/>
        <w:ind w:firstLine="1200" w:firstLineChars="500"/>
        <w:rPr>
          <w:rFonts w:ascii="仿宋_GB2312" w:eastAsia="仿宋_GB2312" w:cs="宋体-18030"/>
          <w:color w:val="auto"/>
          <w:sz w:val="24"/>
        </w:rPr>
      </w:pPr>
      <w:r>
        <w:rPr>
          <w:rFonts w:hint="eastAsia" w:ascii="仿宋_GB2312" w:hAnsi="宋体" w:eastAsia="仿宋_GB2312"/>
          <w:color w:val="auto"/>
          <w:sz w:val="24"/>
        </w:rPr>
        <w:t>2.没有仲裁、诉讼事项的填写“无”。</w:t>
      </w:r>
    </w:p>
    <w:p>
      <w:pPr>
        <w:overflowPunct w:val="0"/>
        <w:topLinePunct/>
        <w:spacing w:line="440" w:lineRule="exact"/>
        <w:ind w:firstLine="420" w:firstLineChars="200"/>
        <w:rPr>
          <w:rFonts w:ascii="仿宋_GB2312" w:eastAsia="仿宋_GB2312" w:cs="宋体-18030"/>
          <w:color w:val="auto"/>
        </w:rPr>
      </w:pPr>
    </w:p>
    <w:p>
      <w:pPr>
        <w:overflowPunct w:val="0"/>
        <w:topLinePunct/>
        <w:spacing w:line="440" w:lineRule="exact"/>
        <w:ind w:firstLine="420" w:firstLineChars="200"/>
        <w:rPr>
          <w:rFonts w:ascii="仿宋_GB2312" w:eastAsia="仿宋_GB2312" w:cs="宋体-18030"/>
          <w:color w:val="auto"/>
        </w:rPr>
      </w:pPr>
    </w:p>
    <w:p>
      <w:pPr>
        <w:overflowPunct w:val="0"/>
        <w:topLinePunct/>
        <w:spacing w:line="440" w:lineRule="exact"/>
        <w:ind w:firstLine="420" w:firstLineChars="200"/>
        <w:rPr>
          <w:rFonts w:ascii="仿宋_GB2312" w:eastAsia="仿宋_GB2312" w:cs="宋体-18030"/>
          <w:color w:val="auto"/>
        </w:rPr>
      </w:pPr>
    </w:p>
    <w:p>
      <w:pPr>
        <w:overflowPunct w:val="0"/>
        <w:topLinePunct/>
        <w:spacing w:line="440" w:lineRule="exact"/>
        <w:ind w:firstLine="420" w:firstLineChars="200"/>
        <w:rPr>
          <w:rFonts w:ascii="仿宋_GB2312" w:eastAsia="仿宋_GB2312" w:cs="宋体-18030"/>
          <w:color w:val="auto"/>
        </w:rPr>
      </w:pPr>
    </w:p>
    <w:p>
      <w:pPr>
        <w:overflowPunct w:val="0"/>
        <w:topLinePunct/>
        <w:spacing w:line="440" w:lineRule="exact"/>
        <w:ind w:firstLine="420" w:firstLineChars="200"/>
        <w:rPr>
          <w:rFonts w:ascii="仿宋_GB2312" w:eastAsia="仿宋_GB2312" w:cs="宋体-18030"/>
          <w:color w:val="auto"/>
        </w:rPr>
      </w:pPr>
    </w:p>
    <w:p>
      <w:pPr>
        <w:spacing w:line="360" w:lineRule="exact"/>
        <w:ind w:left="3446" w:leftChars="200" w:right="1050" w:rightChars="500" w:hanging="3026" w:hangingChars="1081"/>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投标人：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（公章）</w:t>
      </w:r>
    </w:p>
    <w:p>
      <w:pPr>
        <w:spacing w:line="360" w:lineRule="exact"/>
        <w:ind w:left="3446" w:leftChars="200" w:right="1050" w:rightChars="500" w:hanging="3026" w:hangingChars="1081"/>
        <w:rPr>
          <w:rFonts w:ascii="仿宋_GB2312" w:hAnsi="仿宋_GB2312" w:eastAsia="仿宋_GB2312" w:cs="仿宋_GB2312"/>
          <w:color w:val="auto"/>
          <w:sz w:val="28"/>
          <w:szCs w:val="28"/>
        </w:rPr>
      </w:pPr>
    </w:p>
    <w:p>
      <w:pPr>
        <w:spacing w:line="360" w:lineRule="exact"/>
        <w:ind w:left="3446" w:leftChars="200" w:right="1050" w:rightChars="500" w:hanging="3026" w:hangingChars="1081"/>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法定代表人或其授权代表人：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(签字或盖章)</w:t>
      </w:r>
    </w:p>
    <w:p>
      <w:pPr>
        <w:spacing w:line="360" w:lineRule="exact"/>
        <w:ind w:left="3446" w:leftChars="200" w:right="1050" w:rightChars="500" w:hanging="3026" w:hangingChars="1081"/>
        <w:rPr>
          <w:rFonts w:ascii="仿宋_GB2312" w:hAnsi="仿宋_GB2312" w:eastAsia="仿宋_GB2312" w:cs="仿宋_GB2312"/>
          <w:color w:val="auto"/>
          <w:sz w:val="28"/>
          <w:szCs w:val="28"/>
          <w:u w:val="single"/>
        </w:rPr>
      </w:pPr>
    </w:p>
    <w:p>
      <w:pPr>
        <w:spacing w:line="360" w:lineRule="exact"/>
        <w:ind w:left="3446" w:leftChars="200" w:right="1050" w:rightChars="500" w:hanging="3026" w:hangingChars="1081"/>
        <w:rPr>
          <w:rFonts w:ascii="仿宋_GB2312" w:hAnsi="仿宋_GB2312" w:eastAsia="仿宋_GB2312" w:cs="仿宋_GB2312"/>
          <w:color w:val="auto"/>
          <w:sz w:val="28"/>
          <w:szCs w:val="28"/>
          <w:u w:val="single"/>
        </w:rPr>
      </w:pPr>
    </w:p>
    <w:p>
      <w:pPr>
        <w:spacing w:line="360" w:lineRule="exact"/>
        <w:ind w:left="2692" w:leftChars="1282" w:right="1050" w:rightChars="500"/>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日期：</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 xml:space="preserve">年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 xml:space="preserve">月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日</w:t>
      </w:r>
    </w:p>
    <w:p>
      <w:pPr>
        <w:overflowPunct w:val="0"/>
        <w:topLinePunct/>
        <w:spacing w:line="440" w:lineRule="exact"/>
        <w:ind w:firstLine="420" w:firstLineChars="200"/>
        <w:rPr>
          <w:rFonts w:ascii="仿宋_GB2312" w:eastAsia="仿宋_GB2312" w:cs="宋体-18030"/>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pStyle w:val="16"/>
        <w:spacing w:beforeLines="100" w:after="0" w:line="360" w:lineRule="auto"/>
        <w:ind w:left="0" w:leftChars="0"/>
        <w:jc w:val="left"/>
        <w:rPr>
          <w:rFonts w:ascii="黑体" w:hAnsi="宋体" w:eastAsia="黑体"/>
          <w:color w:val="auto"/>
          <w:sz w:val="36"/>
          <w:szCs w:val="36"/>
        </w:rPr>
      </w:pPr>
      <w:r>
        <w:rPr>
          <w:rFonts w:hint="eastAsia" w:ascii="黑体" w:hAnsi="宋体" w:eastAsia="黑体"/>
          <w:color w:val="auto"/>
          <w:sz w:val="36"/>
          <w:szCs w:val="36"/>
        </w:rPr>
        <w:t>12、投标声明书</w:t>
      </w:r>
    </w:p>
    <w:p>
      <w:pPr>
        <w:spacing w:afterLines="50" w:line="500" w:lineRule="exact"/>
        <w:ind w:right="630" w:rightChars="300"/>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致：</w:t>
      </w:r>
      <w:r>
        <w:rPr>
          <w:rFonts w:hint="eastAsia" w:ascii="仿宋_GB2312" w:hAnsi="宋体" w:eastAsia="仿宋_GB2312"/>
          <w:color w:val="auto"/>
          <w:sz w:val="28"/>
          <w:szCs w:val="28"/>
          <w:u w:val="single"/>
        </w:rPr>
        <w:t>西安航天城第一小学</w:t>
      </w:r>
    </w:p>
    <w:p>
      <w:pPr>
        <w:pStyle w:val="9"/>
        <w:spacing w:line="480" w:lineRule="exact"/>
        <w:ind w:firstLine="560"/>
        <w:rPr>
          <w:rFonts w:ascii="仿宋_GB2312" w:hAnsi="宋体" w:eastAsia="仿宋_GB2312" w:cs="Lucida Sans Unicode"/>
          <w:color w:val="auto"/>
          <w:kern w:val="0"/>
          <w:sz w:val="28"/>
          <w:szCs w:val="28"/>
        </w:rPr>
      </w:pPr>
      <w:r>
        <w:rPr>
          <w:rFonts w:hint="eastAsia" w:ascii="仿宋_GB2312" w:hAnsi="宋体" w:eastAsia="仿宋_GB2312" w:cs="Lucida Sans Unicode"/>
          <w:color w:val="auto"/>
          <w:kern w:val="0"/>
          <w:sz w:val="28"/>
          <w:szCs w:val="28"/>
        </w:rPr>
        <w:t>我公司</w:t>
      </w:r>
      <w:r>
        <w:rPr>
          <w:rFonts w:hint="eastAsia" w:ascii="仿宋_GB2312" w:hAnsi="宋体" w:eastAsia="仿宋_GB2312" w:cs="Lucida Sans Unicode"/>
          <w:color w:val="auto"/>
          <w:kern w:val="0"/>
          <w:sz w:val="28"/>
          <w:szCs w:val="28"/>
          <w:u w:val="single"/>
        </w:rPr>
        <w:t xml:space="preserve">               </w:t>
      </w:r>
      <w:r>
        <w:rPr>
          <w:rFonts w:hint="eastAsia" w:ascii="仿宋_GB2312" w:hAnsi="宋体" w:eastAsia="仿宋_GB2312" w:cs="Lucida Sans Unicode"/>
          <w:color w:val="auto"/>
          <w:kern w:val="0"/>
          <w:sz w:val="28"/>
          <w:szCs w:val="28"/>
        </w:rPr>
        <w:t>（投标人名称），就参加</w:t>
      </w:r>
      <w:r>
        <w:rPr>
          <w:rFonts w:hint="eastAsia" w:ascii="仿宋_GB2312" w:hAnsi="宋体" w:eastAsia="仿宋_GB2312" w:cs="Lucida Sans Unicode"/>
          <w:color w:val="auto"/>
          <w:kern w:val="0"/>
          <w:sz w:val="28"/>
          <w:szCs w:val="28"/>
          <w:u w:val="single"/>
        </w:rPr>
        <w:t xml:space="preserve">            </w:t>
      </w:r>
      <w:r>
        <w:rPr>
          <w:rFonts w:hint="eastAsia" w:ascii="仿宋_GB2312" w:hAnsi="宋体" w:eastAsia="仿宋_GB2312" w:cs="Lucida Sans Unicode"/>
          <w:color w:val="auto"/>
          <w:kern w:val="0"/>
          <w:sz w:val="28"/>
          <w:szCs w:val="28"/>
        </w:rPr>
        <w:t>采购项目（项目编号：</w:t>
      </w:r>
      <w:r>
        <w:rPr>
          <w:rFonts w:hint="eastAsia" w:ascii="仿宋_GB2312" w:hAnsi="宋体" w:eastAsia="仿宋_GB2312" w:cs="Lucida Sans Unicode"/>
          <w:color w:val="auto"/>
          <w:kern w:val="0"/>
          <w:sz w:val="28"/>
          <w:szCs w:val="28"/>
          <w:u w:val="single"/>
        </w:rPr>
        <w:t xml:space="preserve">             </w:t>
      </w:r>
      <w:r>
        <w:rPr>
          <w:rFonts w:hint="eastAsia" w:ascii="仿宋_GB2312" w:hAnsi="宋体" w:eastAsia="仿宋_GB2312" w:cs="Lucida Sans Unicode"/>
          <w:color w:val="auto"/>
          <w:kern w:val="0"/>
          <w:sz w:val="28"/>
          <w:szCs w:val="28"/>
        </w:rPr>
        <w:t>）政府采购活动事宜，在此郑重声明：</w:t>
      </w:r>
    </w:p>
    <w:p>
      <w:pPr>
        <w:pStyle w:val="9"/>
        <w:spacing w:line="480" w:lineRule="exact"/>
        <w:ind w:firstLine="560"/>
        <w:rPr>
          <w:rFonts w:ascii="仿宋_GB2312" w:hAnsi="宋体" w:eastAsia="仿宋_GB2312" w:cs="Lucida Sans Unicode"/>
          <w:color w:val="auto"/>
          <w:kern w:val="0"/>
          <w:sz w:val="28"/>
          <w:szCs w:val="28"/>
        </w:rPr>
      </w:pPr>
      <w:r>
        <w:rPr>
          <w:rFonts w:hint="eastAsia" w:ascii="仿宋_GB2312" w:hAnsi="宋体" w:eastAsia="仿宋_GB2312" w:cs="Lucida Sans Unicode"/>
          <w:color w:val="auto"/>
          <w:kern w:val="0"/>
          <w:sz w:val="28"/>
          <w:szCs w:val="28"/>
        </w:rPr>
        <w:t>1、我公司所提交的投标文件全部真实有效；</w:t>
      </w:r>
    </w:p>
    <w:p>
      <w:pPr>
        <w:pStyle w:val="9"/>
        <w:spacing w:line="480" w:lineRule="exact"/>
        <w:ind w:firstLine="560"/>
        <w:rPr>
          <w:rFonts w:ascii="仿宋_GB2312" w:hAnsi="宋体" w:eastAsia="仿宋_GB2312" w:cs="Lucida Sans Unicode"/>
          <w:color w:val="auto"/>
          <w:kern w:val="0"/>
          <w:sz w:val="28"/>
          <w:szCs w:val="28"/>
        </w:rPr>
      </w:pPr>
      <w:r>
        <w:rPr>
          <w:rFonts w:hint="eastAsia" w:ascii="仿宋_GB2312" w:hAnsi="宋体" w:eastAsia="仿宋_GB2312" w:cs="Lucida Sans Unicode"/>
          <w:color w:val="auto"/>
          <w:kern w:val="0"/>
          <w:sz w:val="28"/>
          <w:szCs w:val="28"/>
        </w:rPr>
        <w:t>2、我公司近3年来无因安全事故、质量事故、投标违规等不良记录被政府有关部门处罚或仍在处罚期限内的情形存在；</w:t>
      </w:r>
    </w:p>
    <w:p>
      <w:pPr>
        <w:pStyle w:val="9"/>
        <w:spacing w:line="480" w:lineRule="exact"/>
        <w:ind w:firstLine="560"/>
        <w:rPr>
          <w:rFonts w:ascii="仿宋_GB2312" w:hAnsi="宋体" w:eastAsia="仿宋_GB2312" w:cs="Lucida Sans Unicode"/>
          <w:color w:val="auto"/>
          <w:kern w:val="0"/>
          <w:sz w:val="28"/>
          <w:szCs w:val="28"/>
        </w:rPr>
      </w:pPr>
      <w:r>
        <w:rPr>
          <w:rFonts w:hint="eastAsia" w:ascii="仿宋_GB2312" w:hAnsi="宋体" w:eastAsia="仿宋_GB2312" w:cs="Lucida Sans Unicode"/>
          <w:color w:val="auto"/>
          <w:kern w:val="0"/>
          <w:sz w:val="28"/>
          <w:szCs w:val="28"/>
        </w:rPr>
        <w:t>3、我公司近3年来无违规违法经营受到责令停产(或停止经营)、 吊销生产许可证（或经营许可证）、较大数额罚款等行政处罚的情形存在；</w:t>
      </w:r>
    </w:p>
    <w:p>
      <w:pPr>
        <w:pStyle w:val="9"/>
        <w:spacing w:line="480" w:lineRule="exact"/>
        <w:ind w:firstLine="560"/>
        <w:rPr>
          <w:rFonts w:ascii="仿宋_GB2312" w:hAnsi="宋体" w:eastAsia="仿宋_GB2312" w:cs="Lucida Sans Unicode"/>
          <w:color w:val="auto"/>
          <w:kern w:val="0"/>
          <w:sz w:val="28"/>
          <w:szCs w:val="28"/>
        </w:rPr>
      </w:pPr>
      <w:r>
        <w:rPr>
          <w:rFonts w:hint="eastAsia" w:ascii="仿宋_GB2312" w:hAnsi="宋体" w:eastAsia="仿宋_GB2312" w:cs="Lucida Sans Unicode"/>
          <w:color w:val="auto"/>
          <w:kern w:val="0"/>
          <w:sz w:val="28"/>
          <w:szCs w:val="28"/>
        </w:rPr>
        <w:t>4、我公司无企业财产被查封、冻结或处于破产状态或严重亏损状态等情形存在；</w:t>
      </w:r>
    </w:p>
    <w:p>
      <w:pPr>
        <w:pStyle w:val="9"/>
        <w:spacing w:line="480" w:lineRule="exact"/>
        <w:ind w:firstLine="560"/>
        <w:rPr>
          <w:rFonts w:ascii="仿宋_GB2312" w:hAnsi="宋体" w:eastAsia="仿宋_GB2312" w:cs="Lucida Sans Unicode"/>
          <w:color w:val="auto"/>
          <w:kern w:val="0"/>
          <w:sz w:val="28"/>
          <w:szCs w:val="28"/>
        </w:rPr>
      </w:pPr>
      <w:r>
        <w:rPr>
          <w:rFonts w:hint="eastAsia" w:ascii="仿宋_GB2312" w:hAnsi="宋体" w:eastAsia="仿宋_GB2312" w:cs="Lucida Sans Unicode"/>
          <w:color w:val="auto"/>
          <w:kern w:val="0"/>
          <w:sz w:val="28"/>
          <w:szCs w:val="28"/>
        </w:rPr>
        <w:t>5、我公司承诺在政府采购采购活动中，保证不予其他单位围标、串标，不出让投标资格，不采取不正当手段诋毁、排挤其他投标人，不弄虚作假，不向采购人、采购代理机构、评标委员会成员行贿；</w:t>
      </w:r>
    </w:p>
    <w:p>
      <w:pPr>
        <w:pStyle w:val="9"/>
        <w:spacing w:line="480" w:lineRule="exact"/>
        <w:ind w:firstLine="560"/>
        <w:rPr>
          <w:rFonts w:ascii="仿宋_GB2312" w:hAnsi="宋体" w:eastAsia="仿宋_GB2312" w:cs="Lucida Sans Unicode"/>
          <w:color w:val="auto"/>
          <w:kern w:val="0"/>
          <w:sz w:val="28"/>
          <w:szCs w:val="28"/>
        </w:rPr>
      </w:pPr>
      <w:r>
        <w:rPr>
          <w:rFonts w:hint="eastAsia" w:ascii="仿宋_GB2312" w:hAnsi="宋体" w:eastAsia="仿宋_GB2312" w:cs="Lucida Sans Unicode"/>
          <w:color w:val="auto"/>
          <w:kern w:val="0"/>
          <w:sz w:val="28"/>
          <w:szCs w:val="28"/>
        </w:rPr>
        <w:t>6、我方</w:t>
      </w:r>
      <w:r>
        <w:rPr>
          <w:rFonts w:hint="eastAsia" w:ascii="仿宋_GB2312" w:hAnsi="宋体" w:eastAsia="仿宋_GB2312" w:cs="Lucida Sans Unicode"/>
          <w:color w:val="auto"/>
          <w:kern w:val="0"/>
          <w:sz w:val="28"/>
          <w:szCs w:val="28"/>
          <w:u w:val="single"/>
        </w:rPr>
        <w:t xml:space="preserve"> （是或不是） </w:t>
      </w:r>
      <w:r>
        <w:rPr>
          <w:rFonts w:hint="eastAsia" w:ascii="仿宋_GB2312" w:hAnsi="宋体" w:eastAsia="仿宋_GB2312" w:cs="Lucida Sans Unicode"/>
          <w:color w:val="auto"/>
          <w:kern w:val="0"/>
          <w:sz w:val="28"/>
          <w:szCs w:val="28"/>
        </w:rPr>
        <w:t>为本项目提供整体设计、规范编制或者项目管理、监理、检测等服务的供应商，我方与采购人或采购代理机构不存在隶属关系或者其他利害关系。</w:t>
      </w:r>
    </w:p>
    <w:p>
      <w:pPr>
        <w:pStyle w:val="9"/>
        <w:spacing w:line="480" w:lineRule="exact"/>
        <w:ind w:firstLine="560"/>
        <w:rPr>
          <w:rFonts w:ascii="仿宋_GB2312" w:hAnsi="宋体" w:eastAsia="仿宋_GB2312" w:cs="Lucida Sans Unicode"/>
          <w:color w:val="auto"/>
          <w:kern w:val="0"/>
          <w:sz w:val="28"/>
          <w:szCs w:val="28"/>
        </w:rPr>
      </w:pPr>
      <w:r>
        <w:rPr>
          <w:rFonts w:hint="eastAsia" w:ascii="仿宋_GB2312" w:hAnsi="宋体" w:eastAsia="仿宋_GB2312" w:cs="Lucida Sans Unicode"/>
          <w:color w:val="auto"/>
          <w:kern w:val="0"/>
          <w:sz w:val="28"/>
          <w:szCs w:val="28"/>
        </w:rPr>
        <w:t>7、我方</w:t>
      </w:r>
      <w:r>
        <w:rPr>
          <w:rFonts w:hint="eastAsia" w:ascii="仿宋_GB2312" w:hAnsi="宋体" w:eastAsia="仿宋_GB2312" w:cs="Lucida Sans Unicode"/>
          <w:color w:val="auto"/>
          <w:kern w:val="0"/>
          <w:sz w:val="28"/>
          <w:szCs w:val="28"/>
          <w:u w:val="single"/>
        </w:rPr>
        <w:t>（为联合体或非联合体）</w:t>
      </w:r>
      <w:r>
        <w:rPr>
          <w:rFonts w:hint="eastAsia" w:ascii="仿宋_GB2312" w:hAnsi="宋体" w:eastAsia="仿宋_GB2312" w:cs="Lucida Sans Unicode"/>
          <w:color w:val="auto"/>
          <w:kern w:val="0"/>
          <w:sz w:val="28"/>
          <w:szCs w:val="28"/>
        </w:rPr>
        <w:t>参加投标。</w:t>
      </w:r>
    </w:p>
    <w:p>
      <w:pPr>
        <w:pStyle w:val="9"/>
        <w:spacing w:line="480" w:lineRule="exact"/>
        <w:ind w:firstLine="560"/>
        <w:rPr>
          <w:rFonts w:ascii="仿宋_GB2312" w:hAnsi="宋体" w:eastAsia="仿宋_GB2312" w:cs="Lucida Sans Unicode"/>
          <w:color w:val="auto"/>
          <w:kern w:val="0"/>
          <w:sz w:val="28"/>
          <w:szCs w:val="28"/>
        </w:rPr>
      </w:pPr>
      <w:r>
        <w:rPr>
          <w:rFonts w:hint="eastAsia" w:ascii="仿宋_GB2312" w:hAnsi="宋体" w:eastAsia="仿宋_GB2312" w:cs="Lucida Sans Unicode"/>
          <w:color w:val="auto"/>
          <w:kern w:val="0"/>
          <w:sz w:val="28"/>
          <w:szCs w:val="28"/>
        </w:rPr>
        <w:t>以上声明若有违反，一经查实，本公司愿意接受政府有关部门的相应处罚，并愿意承担由此带来的法律后果。</w:t>
      </w:r>
    </w:p>
    <w:p>
      <w:pPr>
        <w:pStyle w:val="9"/>
        <w:spacing w:line="520" w:lineRule="exact"/>
        <w:ind w:firstLine="560"/>
        <w:rPr>
          <w:rFonts w:ascii="仿宋_GB2312" w:hAnsi="宋体" w:eastAsia="仿宋_GB2312" w:cs="Lucida Sans Unicode"/>
          <w:color w:val="auto"/>
          <w:kern w:val="0"/>
          <w:sz w:val="28"/>
          <w:szCs w:val="28"/>
        </w:rPr>
      </w:pPr>
    </w:p>
    <w:p>
      <w:pPr>
        <w:pStyle w:val="9"/>
        <w:spacing w:line="520" w:lineRule="exact"/>
        <w:ind w:firstLine="560"/>
        <w:rPr>
          <w:rFonts w:ascii="仿宋_GB2312" w:hAnsi="宋体" w:eastAsia="仿宋_GB2312" w:cs="Lucida Sans Unicode"/>
          <w:color w:val="auto"/>
          <w:kern w:val="0"/>
          <w:sz w:val="28"/>
          <w:szCs w:val="28"/>
        </w:rPr>
      </w:pPr>
      <w:r>
        <w:rPr>
          <w:rFonts w:hint="eastAsia" w:ascii="仿宋_GB2312" w:hAnsi="宋体" w:eastAsia="仿宋_GB2312" w:cs="Lucida Sans Unicode"/>
          <w:color w:val="auto"/>
          <w:kern w:val="0"/>
          <w:sz w:val="28"/>
          <w:szCs w:val="28"/>
        </w:rPr>
        <w:t>特此声明！</w:t>
      </w:r>
    </w:p>
    <w:p>
      <w:pPr>
        <w:pStyle w:val="9"/>
        <w:spacing w:line="520" w:lineRule="exact"/>
        <w:ind w:firstLine="560"/>
        <w:rPr>
          <w:rFonts w:ascii="仿宋_GB2312" w:hAnsi="宋体" w:eastAsia="仿宋_GB2312" w:cs="Lucida Sans Unicode"/>
          <w:color w:val="auto"/>
          <w:kern w:val="0"/>
          <w:sz w:val="28"/>
          <w:szCs w:val="28"/>
        </w:rPr>
      </w:pPr>
    </w:p>
    <w:p>
      <w:pPr>
        <w:pStyle w:val="9"/>
        <w:spacing w:line="520" w:lineRule="exact"/>
        <w:ind w:firstLine="560"/>
        <w:rPr>
          <w:rFonts w:ascii="仿宋_GB2312" w:hAnsi="宋体" w:eastAsia="仿宋_GB2312" w:cs="Lucida Sans Unicode"/>
          <w:color w:val="auto"/>
          <w:kern w:val="0"/>
          <w:sz w:val="28"/>
          <w:szCs w:val="28"/>
        </w:rPr>
      </w:pPr>
      <w:r>
        <w:rPr>
          <w:rFonts w:hint="eastAsia" w:ascii="仿宋_GB2312" w:hAnsi="宋体" w:eastAsia="仿宋_GB2312" w:cs="Lucida Sans Unicode"/>
          <w:color w:val="auto"/>
          <w:kern w:val="0"/>
          <w:sz w:val="28"/>
          <w:szCs w:val="28"/>
        </w:rPr>
        <w:t xml:space="preserve">声  明  人: </w:t>
      </w:r>
      <w:r>
        <w:rPr>
          <w:rFonts w:hint="eastAsia" w:ascii="仿宋_GB2312" w:hAnsi="宋体" w:eastAsia="仿宋_GB2312" w:cs="Lucida Sans Unicode"/>
          <w:color w:val="auto"/>
          <w:kern w:val="0"/>
          <w:sz w:val="28"/>
          <w:szCs w:val="28"/>
          <w:u w:val="single"/>
        </w:rPr>
        <w:t xml:space="preserve">                                 </w:t>
      </w:r>
      <w:r>
        <w:rPr>
          <w:rFonts w:hint="eastAsia" w:ascii="仿宋_GB2312" w:hAnsi="宋体" w:eastAsia="仿宋_GB2312" w:cs="Lucida Sans Unicode"/>
          <w:color w:val="auto"/>
          <w:kern w:val="0"/>
          <w:sz w:val="28"/>
          <w:szCs w:val="28"/>
        </w:rPr>
        <w:t>(公章)</w:t>
      </w:r>
    </w:p>
    <w:p>
      <w:pPr>
        <w:spacing w:line="360" w:lineRule="exact"/>
        <w:ind w:left="3446" w:leftChars="200" w:right="1050" w:rightChars="500" w:hanging="3026" w:hangingChars="1081"/>
        <w:rPr>
          <w:rFonts w:ascii="仿宋_GB2312" w:hAnsi="仿宋_GB2312" w:eastAsia="仿宋_GB2312" w:cs="仿宋_GB2312"/>
          <w:color w:val="auto"/>
          <w:sz w:val="28"/>
          <w:szCs w:val="28"/>
        </w:rPr>
      </w:pPr>
    </w:p>
    <w:p>
      <w:pPr>
        <w:spacing w:line="360" w:lineRule="exact"/>
        <w:ind w:left="3446" w:leftChars="200" w:right="1050" w:rightChars="500" w:hanging="3026" w:hangingChars="1081"/>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法定代表人或其授权代表人：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(签字或盖章)</w:t>
      </w:r>
    </w:p>
    <w:p>
      <w:pPr>
        <w:spacing w:line="360" w:lineRule="exact"/>
        <w:ind w:left="3446" w:leftChars="200" w:right="1050" w:rightChars="500" w:hanging="3026" w:hangingChars="1081"/>
        <w:rPr>
          <w:rFonts w:ascii="仿宋_GB2312" w:hAnsi="仿宋_GB2312" w:eastAsia="仿宋_GB2312" w:cs="仿宋_GB2312"/>
          <w:color w:val="auto"/>
          <w:sz w:val="28"/>
          <w:szCs w:val="28"/>
          <w:u w:val="single"/>
        </w:rPr>
      </w:pPr>
    </w:p>
    <w:p>
      <w:pPr>
        <w:spacing w:line="360" w:lineRule="exact"/>
        <w:ind w:left="3446" w:leftChars="200" w:right="1050" w:rightChars="500" w:hanging="3026" w:hangingChars="1081"/>
        <w:rPr>
          <w:rFonts w:ascii="仿宋_GB2312" w:hAnsi="仿宋_GB2312" w:eastAsia="仿宋_GB2312" w:cs="仿宋_GB2312"/>
          <w:color w:val="auto"/>
          <w:sz w:val="28"/>
          <w:szCs w:val="28"/>
          <w:u w:val="single"/>
        </w:rPr>
      </w:pPr>
    </w:p>
    <w:p>
      <w:pPr>
        <w:spacing w:line="360" w:lineRule="exact"/>
        <w:ind w:left="2692" w:leftChars="1282" w:right="1050" w:rightChars="500"/>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日期：</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 xml:space="preserve">年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 xml:space="preserve">月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日</w:t>
      </w:r>
    </w:p>
    <w:p>
      <w:pPr>
        <w:pStyle w:val="16"/>
        <w:spacing w:beforeLines="100" w:after="0" w:line="360" w:lineRule="auto"/>
        <w:ind w:left="0" w:leftChars="0"/>
        <w:jc w:val="left"/>
        <w:rPr>
          <w:rFonts w:ascii="黑体" w:hAnsi="宋体" w:eastAsia="黑体"/>
          <w:color w:val="auto"/>
          <w:sz w:val="36"/>
          <w:szCs w:val="36"/>
        </w:rPr>
      </w:pPr>
      <w:r>
        <w:rPr>
          <w:rFonts w:hint="eastAsia" w:ascii="黑体" w:hAnsi="宋体" w:eastAsia="黑体"/>
          <w:color w:val="auto"/>
          <w:sz w:val="36"/>
          <w:szCs w:val="36"/>
        </w:rPr>
        <w:t>13、投标人企业关系关联承诺书</w:t>
      </w:r>
    </w:p>
    <w:p>
      <w:pPr>
        <w:pStyle w:val="49"/>
        <w:widowControl/>
        <w:numPr>
          <w:ilvl w:val="0"/>
          <w:numId w:val="1"/>
        </w:numPr>
        <w:autoSpaceDE w:val="0"/>
        <w:autoSpaceDN w:val="0"/>
        <w:adjustRightInd w:val="0"/>
        <w:snapToGrid w:val="0"/>
        <w:spacing w:beforeLines="100" w:line="360" w:lineRule="auto"/>
        <w:ind w:firstLineChars="0"/>
        <w:contextualSpacing/>
        <w:jc w:val="left"/>
        <w:rPr>
          <w:rFonts w:ascii="仿宋_GB2312" w:hAnsi="宋体" w:eastAsia="仿宋_GB2312"/>
          <w:color w:val="auto"/>
          <w:sz w:val="28"/>
          <w:szCs w:val="28"/>
        </w:rPr>
      </w:pPr>
      <w:r>
        <w:rPr>
          <w:rFonts w:hint="eastAsia" w:ascii="仿宋_GB2312" w:hAnsi="宋体" w:eastAsia="仿宋_GB2312"/>
          <w:color w:val="auto"/>
          <w:sz w:val="28"/>
          <w:szCs w:val="28"/>
        </w:rPr>
        <w:t>投标人股东及股权情况。</w:t>
      </w:r>
    </w:p>
    <w:p>
      <w:pPr>
        <w:autoSpaceDE w:val="0"/>
        <w:autoSpaceDN w:val="0"/>
        <w:adjustRightInd w:val="0"/>
        <w:snapToGrid w:val="0"/>
        <w:spacing w:beforeLines="100" w:line="360" w:lineRule="auto"/>
        <w:rPr>
          <w:rFonts w:ascii="仿宋_GB2312" w:hAnsi="宋体" w:eastAsia="仿宋_GB2312"/>
          <w:color w:val="auto"/>
          <w:sz w:val="28"/>
          <w:szCs w:val="28"/>
        </w:rPr>
      </w:pPr>
    </w:p>
    <w:p>
      <w:pPr>
        <w:autoSpaceDE w:val="0"/>
        <w:autoSpaceDN w:val="0"/>
        <w:adjustRightInd w:val="0"/>
        <w:snapToGrid w:val="0"/>
        <w:spacing w:line="360" w:lineRule="auto"/>
        <w:rPr>
          <w:rFonts w:ascii="仿宋_GB2312" w:hAnsi="宋体" w:eastAsia="仿宋_GB2312"/>
          <w:color w:val="auto"/>
          <w:sz w:val="28"/>
          <w:szCs w:val="28"/>
        </w:rPr>
      </w:pPr>
      <w:r>
        <w:rPr>
          <w:rFonts w:hint="eastAsia" w:ascii="仿宋_GB2312" w:hAnsi="宋体" w:eastAsia="仿宋_GB2312"/>
          <w:color w:val="auto"/>
          <w:sz w:val="28"/>
          <w:szCs w:val="28"/>
        </w:rPr>
        <w:t xml:space="preserve"> （2）投标人在本项目采购中，不存在与其它投标人负责人为同一人，有控股、管理等关联关系承诺。</w:t>
      </w:r>
    </w:p>
    <w:p>
      <w:pPr>
        <w:snapToGrid w:val="0"/>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fldChar w:fldCharType="begin"/>
      </w:r>
      <w:r>
        <w:rPr>
          <w:rFonts w:hint="eastAsia" w:ascii="仿宋_GB2312" w:hAnsi="宋体" w:eastAsia="仿宋_GB2312"/>
          <w:color w:val="auto"/>
          <w:sz w:val="28"/>
          <w:szCs w:val="28"/>
        </w:rPr>
        <w:instrText xml:space="preserve"> = 1 \* GB3 </w:instrText>
      </w:r>
      <w:r>
        <w:rPr>
          <w:rFonts w:hint="eastAsia" w:ascii="仿宋_GB2312" w:hAnsi="宋体" w:eastAsia="仿宋_GB2312"/>
          <w:color w:val="auto"/>
          <w:sz w:val="28"/>
          <w:szCs w:val="28"/>
        </w:rPr>
        <w:fldChar w:fldCharType="separate"/>
      </w:r>
      <w:r>
        <w:rPr>
          <w:rFonts w:hint="eastAsia" w:ascii="仿宋_GB2312" w:hAnsi="宋体" w:eastAsia="仿宋_GB2312"/>
          <w:color w:val="auto"/>
          <w:sz w:val="28"/>
          <w:szCs w:val="28"/>
        </w:rPr>
        <w:t>①</w:t>
      </w:r>
      <w:r>
        <w:rPr>
          <w:rFonts w:hint="eastAsia" w:ascii="仿宋_GB2312" w:hAnsi="宋体" w:eastAsia="仿宋_GB2312"/>
          <w:color w:val="auto"/>
          <w:sz w:val="28"/>
          <w:szCs w:val="28"/>
        </w:rPr>
        <w:fldChar w:fldCharType="end"/>
      </w:r>
      <w:r>
        <w:rPr>
          <w:rFonts w:hint="eastAsia" w:ascii="仿宋_GB2312" w:hAnsi="宋体" w:eastAsia="仿宋_GB2312"/>
          <w:color w:val="auto"/>
          <w:sz w:val="28"/>
          <w:szCs w:val="28"/>
        </w:rPr>
        <w:t>管理关系说明：</w:t>
      </w:r>
    </w:p>
    <w:p>
      <w:pPr>
        <w:snapToGrid w:val="0"/>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我单位管理的具有独立法人的下属单位有：</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w:t>
      </w:r>
    </w:p>
    <w:p>
      <w:pPr>
        <w:snapToGrid w:val="0"/>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我单位的上级管理单位有</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w:t>
      </w:r>
    </w:p>
    <w:p>
      <w:pPr>
        <w:snapToGrid w:val="0"/>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fldChar w:fldCharType="begin"/>
      </w:r>
      <w:r>
        <w:rPr>
          <w:rFonts w:hint="eastAsia" w:ascii="仿宋_GB2312" w:hAnsi="宋体" w:eastAsia="仿宋_GB2312"/>
          <w:color w:val="auto"/>
          <w:sz w:val="28"/>
          <w:szCs w:val="28"/>
        </w:rPr>
        <w:instrText xml:space="preserve"> = 2 \* GB3 </w:instrText>
      </w:r>
      <w:r>
        <w:rPr>
          <w:rFonts w:hint="eastAsia" w:ascii="仿宋_GB2312" w:hAnsi="宋体" w:eastAsia="仿宋_GB2312"/>
          <w:color w:val="auto"/>
          <w:sz w:val="28"/>
          <w:szCs w:val="28"/>
        </w:rPr>
        <w:fldChar w:fldCharType="separate"/>
      </w:r>
      <w:r>
        <w:rPr>
          <w:rFonts w:hint="eastAsia" w:ascii="仿宋_GB2312" w:hAnsi="宋体" w:eastAsia="仿宋_GB2312"/>
          <w:color w:val="auto"/>
          <w:sz w:val="28"/>
          <w:szCs w:val="28"/>
        </w:rPr>
        <w:t>②</w:t>
      </w:r>
      <w:r>
        <w:rPr>
          <w:rFonts w:hint="eastAsia" w:ascii="仿宋_GB2312" w:hAnsi="宋体" w:eastAsia="仿宋_GB2312"/>
          <w:color w:val="auto"/>
          <w:sz w:val="28"/>
          <w:szCs w:val="28"/>
        </w:rPr>
        <w:fldChar w:fldCharType="end"/>
      </w:r>
      <w:r>
        <w:rPr>
          <w:rFonts w:hint="eastAsia" w:ascii="仿宋_GB2312" w:hAnsi="宋体" w:eastAsia="仿宋_GB2312"/>
          <w:color w:val="auto"/>
          <w:sz w:val="28"/>
          <w:szCs w:val="28"/>
        </w:rPr>
        <w:t>股权关系说明：</w:t>
      </w:r>
    </w:p>
    <w:p>
      <w:pPr>
        <w:snapToGrid w:val="0"/>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我单位控股的单位有</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w:t>
      </w:r>
    </w:p>
    <w:p>
      <w:pPr>
        <w:snapToGrid w:val="0"/>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我单位被</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单位控股。</w:t>
      </w:r>
    </w:p>
    <w:p>
      <w:pPr>
        <w:snapToGrid w:val="0"/>
        <w:spacing w:line="360" w:lineRule="auto"/>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fldChar w:fldCharType="begin"/>
      </w:r>
      <w:r>
        <w:rPr>
          <w:rFonts w:hint="eastAsia" w:ascii="仿宋_GB2312" w:hAnsi="宋体" w:eastAsia="仿宋_GB2312"/>
          <w:color w:val="auto"/>
          <w:sz w:val="28"/>
          <w:szCs w:val="28"/>
        </w:rPr>
        <w:instrText xml:space="preserve"> = 3 \* GB3 </w:instrText>
      </w:r>
      <w:r>
        <w:rPr>
          <w:rFonts w:hint="eastAsia" w:ascii="仿宋_GB2312" w:hAnsi="宋体" w:eastAsia="仿宋_GB2312"/>
          <w:color w:val="auto"/>
          <w:sz w:val="28"/>
          <w:szCs w:val="28"/>
        </w:rPr>
        <w:fldChar w:fldCharType="separate"/>
      </w:r>
      <w:r>
        <w:rPr>
          <w:rFonts w:hint="eastAsia" w:ascii="仿宋_GB2312" w:hAnsi="宋体" w:eastAsia="仿宋_GB2312"/>
          <w:color w:val="auto"/>
          <w:sz w:val="28"/>
          <w:szCs w:val="28"/>
        </w:rPr>
        <w:t>③</w:t>
      </w:r>
      <w:r>
        <w:rPr>
          <w:rFonts w:hint="eastAsia" w:ascii="仿宋_GB2312" w:hAnsi="宋体" w:eastAsia="仿宋_GB2312"/>
          <w:color w:val="auto"/>
          <w:sz w:val="28"/>
          <w:szCs w:val="28"/>
        </w:rPr>
        <w:fldChar w:fldCharType="end"/>
      </w:r>
      <w:r>
        <w:rPr>
          <w:rFonts w:hint="eastAsia" w:ascii="仿宋_GB2312" w:hAnsi="宋体" w:eastAsia="仿宋_GB2312"/>
          <w:color w:val="auto"/>
          <w:sz w:val="28"/>
          <w:szCs w:val="28"/>
        </w:rPr>
        <w:t>单位负责人：</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w:t>
      </w:r>
    </w:p>
    <w:p>
      <w:pPr>
        <w:snapToGrid w:val="0"/>
        <w:spacing w:line="360" w:lineRule="auto"/>
        <w:rPr>
          <w:rFonts w:ascii="仿宋_GB2312" w:hAnsi="宋体" w:eastAsia="仿宋_GB2312"/>
          <w:color w:val="auto"/>
          <w:sz w:val="28"/>
          <w:szCs w:val="28"/>
          <w:u w:val="single"/>
        </w:rPr>
      </w:pPr>
      <w:r>
        <w:rPr>
          <w:rFonts w:hint="eastAsia" w:ascii="仿宋_GB2312" w:hAnsi="宋体" w:eastAsia="仿宋_GB2312"/>
          <w:color w:val="auto"/>
          <w:sz w:val="28"/>
          <w:szCs w:val="28"/>
        </w:rPr>
        <w:t>（3）其他与本项目有关的利害关系说明：</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w:t>
      </w:r>
    </w:p>
    <w:p>
      <w:pPr>
        <w:snapToGrid w:val="0"/>
        <w:spacing w:line="360" w:lineRule="auto"/>
        <w:rPr>
          <w:rFonts w:ascii="仿宋_GB2312" w:hAnsi="宋体" w:eastAsia="仿宋_GB2312"/>
          <w:color w:val="auto"/>
          <w:sz w:val="28"/>
          <w:szCs w:val="28"/>
        </w:rPr>
      </w:pPr>
    </w:p>
    <w:p>
      <w:pPr>
        <w:autoSpaceDE w:val="0"/>
        <w:autoSpaceDN w:val="0"/>
        <w:adjustRightInd w:val="0"/>
        <w:spacing w:line="360" w:lineRule="auto"/>
        <w:ind w:firstLine="1680" w:firstLineChars="600"/>
        <w:rPr>
          <w:rFonts w:ascii="仿宋_GB2312" w:hAnsi="宋体" w:eastAsia="仿宋_GB2312"/>
          <w:color w:val="auto"/>
          <w:sz w:val="28"/>
          <w:szCs w:val="28"/>
        </w:rPr>
      </w:pPr>
      <w:r>
        <w:rPr>
          <w:rFonts w:hint="eastAsia" w:ascii="仿宋_GB2312" w:hAnsi="宋体" w:eastAsia="仿宋_GB2312"/>
          <w:color w:val="auto"/>
          <w:sz w:val="28"/>
          <w:szCs w:val="28"/>
        </w:rPr>
        <w:t>我单位承诺以上说明真实有效，无虚假内容或隐瞒。</w:t>
      </w:r>
    </w:p>
    <w:p>
      <w:pPr>
        <w:autoSpaceDE w:val="0"/>
        <w:autoSpaceDN w:val="0"/>
        <w:adjustRightInd w:val="0"/>
        <w:snapToGrid w:val="0"/>
        <w:spacing w:line="360" w:lineRule="auto"/>
        <w:rPr>
          <w:rFonts w:ascii="仿宋_GB2312" w:hAnsi="宋体" w:eastAsia="仿宋_GB2312"/>
          <w:color w:val="auto"/>
          <w:sz w:val="28"/>
          <w:szCs w:val="28"/>
        </w:rPr>
      </w:pPr>
    </w:p>
    <w:p>
      <w:pPr>
        <w:spacing w:line="360" w:lineRule="exact"/>
        <w:ind w:left="3446" w:leftChars="200" w:right="1050" w:rightChars="500" w:hanging="3026" w:hangingChars="1081"/>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投标人：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（公章）</w:t>
      </w:r>
    </w:p>
    <w:p>
      <w:pPr>
        <w:spacing w:line="360" w:lineRule="exact"/>
        <w:ind w:left="3446" w:leftChars="200" w:right="1050" w:rightChars="500" w:hanging="3026" w:hangingChars="1081"/>
        <w:rPr>
          <w:rFonts w:ascii="仿宋_GB2312" w:hAnsi="仿宋_GB2312" w:eastAsia="仿宋_GB2312" w:cs="仿宋_GB2312"/>
          <w:color w:val="auto"/>
          <w:sz w:val="28"/>
          <w:szCs w:val="28"/>
        </w:rPr>
      </w:pPr>
    </w:p>
    <w:p>
      <w:pPr>
        <w:spacing w:line="360" w:lineRule="exact"/>
        <w:ind w:left="3446" w:leftChars="200" w:right="1050" w:rightChars="500" w:hanging="3026" w:hangingChars="1081"/>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法定代表人或其授权代表人：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(签字或盖章)</w:t>
      </w:r>
    </w:p>
    <w:p>
      <w:pPr>
        <w:spacing w:line="360" w:lineRule="exact"/>
        <w:ind w:left="3446" w:leftChars="200" w:right="1050" w:rightChars="500" w:hanging="3026" w:hangingChars="1081"/>
        <w:rPr>
          <w:rFonts w:ascii="仿宋_GB2312" w:hAnsi="仿宋_GB2312" w:eastAsia="仿宋_GB2312" w:cs="仿宋_GB2312"/>
          <w:color w:val="auto"/>
          <w:sz w:val="28"/>
          <w:szCs w:val="28"/>
          <w:u w:val="single"/>
        </w:rPr>
      </w:pPr>
    </w:p>
    <w:p>
      <w:pPr>
        <w:spacing w:line="360" w:lineRule="exact"/>
        <w:ind w:left="3446" w:leftChars="200" w:right="1050" w:rightChars="500" w:hanging="3026" w:hangingChars="1081"/>
        <w:rPr>
          <w:rFonts w:ascii="仿宋_GB2312" w:hAnsi="仿宋_GB2312" w:eastAsia="仿宋_GB2312" w:cs="仿宋_GB2312"/>
          <w:color w:val="auto"/>
          <w:sz w:val="28"/>
          <w:szCs w:val="28"/>
          <w:u w:val="single"/>
        </w:rPr>
      </w:pPr>
    </w:p>
    <w:p>
      <w:pPr>
        <w:spacing w:line="360" w:lineRule="exact"/>
        <w:ind w:left="2692" w:leftChars="1282" w:right="1050" w:rightChars="500"/>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日期：</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 xml:space="preserve">年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 xml:space="preserve">月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日</w:t>
      </w:r>
    </w:p>
    <w:p>
      <w:pPr>
        <w:spacing w:beforeLines="50" w:afterLines="50" w:line="600" w:lineRule="exact"/>
        <w:rPr>
          <w:rFonts w:ascii="仿宋_GB2312" w:hAnsi="宋体" w:eastAsia="仿宋_GB2312"/>
          <w:b/>
          <w:color w:val="auto"/>
          <w:sz w:val="28"/>
          <w:szCs w:val="28"/>
        </w:rPr>
      </w:pPr>
    </w:p>
    <w:p>
      <w:pPr>
        <w:pStyle w:val="16"/>
        <w:spacing w:beforeLines="100" w:after="0" w:line="360" w:lineRule="auto"/>
        <w:ind w:left="0" w:leftChars="0"/>
        <w:jc w:val="left"/>
        <w:rPr>
          <w:rFonts w:ascii="仿宋_GB2312" w:hAnsi="宋体" w:eastAsia="仿宋_GB2312"/>
          <w:b/>
          <w:color w:val="auto"/>
          <w:sz w:val="28"/>
          <w:szCs w:val="28"/>
        </w:rPr>
      </w:pPr>
      <w:r>
        <w:rPr>
          <w:rFonts w:hint="eastAsia" w:ascii="仿宋_GB2312" w:hAnsi="宋体" w:eastAsia="仿宋_GB2312"/>
          <w:b/>
          <w:color w:val="auto"/>
          <w:sz w:val="28"/>
          <w:szCs w:val="28"/>
        </w:rPr>
        <w:br w:type="page"/>
      </w:r>
      <w:r>
        <w:rPr>
          <w:rFonts w:hint="eastAsia" w:ascii="黑体" w:hAnsi="宋体" w:eastAsia="黑体"/>
          <w:color w:val="auto"/>
          <w:sz w:val="36"/>
          <w:szCs w:val="36"/>
        </w:rPr>
        <w:t>14、投标人自觉抵制政府采购领域商业贿赂行为承诺书</w:t>
      </w:r>
    </w:p>
    <w:p>
      <w:pPr>
        <w:spacing w:afterLines="50" w:line="500" w:lineRule="exact"/>
        <w:ind w:right="630" w:rightChars="300"/>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致：</w:t>
      </w:r>
      <w:r>
        <w:rPr>
          <w:rFonts w:hint="eastAsia" w:ascii="仿宋_GB2312" w:hAnsi="宋体" w:eastAsia="仿宋_GB2312"/>
          <w:color w:val="auto"/>
          <w:sz w:val="28"/>
          <w:szCs w:val="28"/>
          <w:u w:val="single"/>
        </w:rPr>
        <w:t>西安航天城第一小学</w:t>
      </w:r>
    </w:p>
    <w:p>
      <w:pPr>
        <w:wordWrap w:val="0"/>
        <w:spacing w:line="480" w:lineRule="atLeast"/>
        <w:ind w:firstLine="560" w:firstLineChars="200"/>
        <w:rPr>
          <w:rFonts w:ascii="仿宋_GB2312" w:hAnsi="宋体" w:eastAsia="仿宋_GB2312" w:cs="Lucida Sans Unicode"/>
          <w:color w:val="auto"/>
          <w:sz w:val="28"/>
          <w:szCs w:val="28"/>
        </w:rPr>
      </w:pPr>
      <w:r>
        <w:rPr>
          <w:rFonts w:hint="eastAsia" w:ascii="仿宋_GB2312" w:hAnsi="宋体" w:eastAsia="仿宋_GB2312" w:cs="Lucida Sans Unicode"/>
          <w:color w:val="auto"/>
          <w:sz w:val="28"/>
          <w:szCs w:val="28"/>
        </w:rPr>
        <w:t>为了进一步规范政府采购行为，营造公平竞争的政府采购市场环境，维护政府采购制度良好声誉，在参与贵单位组织的政府采购活动中，我方庄重承诺：</w:t>
      </w:r>
    </w:p>
    <w:p>
      <w:pPr>
        <w:pStyle w:val="49"/>
        <w:wordWrap w:val="0"/>
        <w:spacing w:line="480" w:lineRule="atLeast"/>
        <w:ind w:firstLine="560"/>
        <w:rPr>
          <w:rFonts w:ascii="仿宋_GB2312" w:hAnsi="宋体" w:eastAsia="仿宋_GB2312" w:cs="Lucida Sans Unicode"/>
          <w:color w:val="auto"/>
          <w:sz w:val="28"/>
          <w:szCs w:val="28"/>
        </w:rPr>
      </w:pPr>
      <w:r>
        <w:rPr>
          <w:rFonts w:hint="eastAsia" w:ascii="仿宋_GB2312" w:hAnsi="宋体" w:eastAsia="仿宋_GB2312" w:cs="Lucida Sans Unicode"/>
          <w:color w:val="auto"/>
          <w:sz w:val="28"/>
          <w:szCs w:val="28"/>
        </w:rPr>
        <w:t>一、依法参与政府采购活动，遵纪守法，诚信经营，公平竞争。</w:t>
      </w:r>
    </w:p>
    <w:p>
      <w:pPr>
        <w:wordWrap w:val="0"/>
        <w:spacing w:line="480" w:lineRule="atLeast"/>
        <w:ind w:firstLine="560" w:firstLineChars="200"/>
        <w:rPr>
          <w:rFonts w:ascii="仿宋_GB2312" w:hAnsi="宋体" w:eastAsia="仿宋_GB2312" w:cs="Lucida Sans Unicode"/>
          <w:color w:val="auto"/>
          <w:sz w:val="28"/>
          <w:szCs w:val="28"/>
        </w:rPr>
      </w:pPr>
      <w:r>
        <w:rPr>
          <w:rFonts w:hint="eastAsia" w:ascii="仿宋_GB2312" w:hAnsi="宋体" w:eastAsia="仿宋_GB2312" w:cs="Lucida Sans Unicode"/>
          <w:color w:val="auto"/>
          <w:sz w:val="28"/>
          <w:szCs w:val="28"/>
        </w:rPr>
        <w:t>二、不向采购人、采购代理机构和评审专家提供任何形式的商业贿赂，对索取或接受商业贿赂的单位和个人，及时向财政部门和纪检监察机关举报。</w:t>
      </w:r>
    </w:p>
    <w:p>
      <w:pPr>
        <w:wordWrap w:val="0"/>
        <w:spacing w:line="480" w:lineRule="atLeast"/>
        <w:ind w:firstLine="560" w:firstLineChars="200"/>
        <w:rPr>
          <w:rFonts w:ascii="仿宋_GB2312" w:hAnsi="宋体" w:eastAsia="仿宋_GB2312" w:cs="Lucida Sans Unicode"/>
          <w:color w:val="auto"/>
          <w:sz w:val="28"/>
          <w:szCs w:val="28"/>
        </w:rPr>
      </w:pPr>
      <w:r>
        <w:rPr>
          <w:rFonts w:hint="eastAsia" w:ascii="仿宋_GB2312" w:hAnsi="宋体" w:eastAsia="仿宋_GB2312" w:cs="Lucida Sans Unicode"/>
          <w:color w:val="auto"/>
          <w:sz w:val="28"/>
          <w:szCs w:val="28"/>
        </w:rPr>
        <w:t>三、不以提供虚假资质文件等形式参与政府采购活动，不以虚假材料谋取中标。</w:t>
      </w:r>
    </w:p>
    <w:p>
      <w:pPr>
        <w:wordWrap w:val="0"/>
        <w:spacing w:line="480" w:lineRule="atLeast"/>
        <w:ind w:firstLine="560" w:firstLineChars="200"/>
        <w:rPr>
          <w:rFonts w:ascii="仿宋_GB2312" w:hAnsi="宋体" w:eastAsia="仿宋_GB2312" w:cs="Lucida Sans Unicode"/>
          <w:color w:val="auto"/>
          <w:sz w:val="28"/>
          <w:szCs w:val="28"/>
        </w:rPr>
      </w:pPr>
      <w:r>
        <w:rPr>
          <w:rFonts w:hint="eastAsia" w:ascii="仿宋_GB2312" w:hAnsi="宋体" w:eastAsia="仿宋_GB2312" w:cs="Lucida Sans Unicode"/>
          <w:color w:val="auto"/>
          <w:sz w:val="28"/>
          <w:szCs w:val="28"/>
        </w:rPr>
        <w:t>四、不采取不正当手段诋毁、排挤其它投标人，与其它参与采购活动的投标人保持良性的竞争关系。</w:t>
      </w:r>
    </w:p>
    <w:p>
      <w:pPr>
        <w:wordWrap w:val="0"/>
        <w:spacing w:line="480" w:lineRule="atLeast"/>
        <w:ind w:firstLine="560" w:firstLineChars="200"/>
        <w:rPr>
          <w:rFonts w:ascii="仿宋_GB2312" w:hAnsi="宋体" w:eastAsia="仿宋_GB2312" w:cs="Lucida Sans Unicode"/>
          <w:color w:val="auto"/>
          <w:sz w:val="28"/>
          <w:szCs w:val="28"/>
        </w:rPr>
      </w:pPr>
      <w:r>
        <w:rPr>
          <w:rFonts w:hint="eastAsia" w:ascii="仿宋_GB2312" w:hAnsi="宋体" w:eastAsia="仿宋_GB2312" w:cs="Lucida Sans Unicode"/>
          <w:color w:val="auto"/>
          <w:sz w:val="28"/>
          <w:szCs w:val="28"/>
        </w:rPr>
        <w:t>五、不与采购人、采购代理机构和评审专家恶意串通，自觉维护政府采购公平竞争的市场秩序。</w:t>
      </w:r>
    </w:p>
    <w:p>
      <w:pPr>
        <w:wordWrap w:val="0"/>
        <w:spacing w:line="480" w:lineRule="atLeast"/>
        <w:ind w:firstLine="560" w:firstLineChars="200"/>
        <w:rPr>
          <w:rFonts w:ascii="仿宋_GB2312" w:hAnsi="宋体" w:eastAsia="仿宋_GB2312" w:cs="Lucida Sans Unicode"/>
          <w:color w:val="auto"/>
          <w:sz w:val="28"/>
          <w:szCs w:val="28"/>
        </w:rPr>
      </w:pPr>
      <w:r>
        <w:rPr>
          <w:rFonts w:hint="eastAsia" w:ascii="仿宋_GB2312" w:hAnsi="宋体" w:eastAsia="仿宋_GB2312" w:cs="Lucida Sans Unicode"/>
          <w:color w:val="auto"/>
          <w:sz w:val="28"/>
          <w:szCs w:val="28"/>
        </w:rPr>
        <w:t>六、不与其它投标人串通采取围标、陪标等商业欺诈手段谋取中标或成交，积极维护国家利益、社会公共利益和采购人的合法权益。</w:t>
      </w:r>
    </w:p>
    <w:p>
      <w:pPr>
        <w:wordWrap w:val="0"/>
        <w:spacing w:line="480" w:lineRule="atLeast"/>
        <w:ind w:firstLine="560" w:firstLineChars="200"/>
        <w:rPr>
          <w:rFonts w:ascii="仿宋_GB2312" w:hAnsi="宋体" w:eastAsia="仿宋_GB2312" w:cs="Lucida Sans Unicode"/>
          <w:color w:val="auto"/>
          <w:sz w:val="28"/>
          <w:szCs w:val="28"/>
        </w:rPr>
      </w:pPr>
      <w:r>
        <w:rPr>
          <w:rFonts w:hint="eastAsia" w:ascii="仿宋_GB2312" w:hAnsi="宋体" w:eastAsia="仿宋_GB2312" w:cs="Lucida Sans Unicode"/>
          <w:color w:val="auto"/>
          <w:sz w:val="28"/>
          <w:szCs w:val="28"/>
        </w:rPr>
        <w:t>七、严格履行政府采购合同约定义务，不在政府采购合同执行过程中采取降低质量或标准、减少数量、拖延交付时间等方式损害采购人的利益，并自觉承担违约责任。</w:t>
      </w:r>
    </w:p>
    <w:p>
      <w:pPr>
        <w:wordWrap w:val="0"/>
        <w:spacing w:line="480" w:lineRule="atLeast"/>
        <w:ind w:firstLine="560" w:firstLineChars="200"/>
        <w:rPr>
          <w:rFonts w:ascii="仿宋_GB2312" w:hAnsi="宋体" w:eastAsia="仿宋_GB2312" w:cs="Lucida Sans Unicode"/>
          <w:color w:val="auto"/>
          <w:sz w:val="28"/>
          <w:szCs w:val="28"/>
        </w:rPr>
      </w:pPr>
      <w:r>
        <w:rPr>
          <w:rFonts w:hint="eastAsia" w:ascii="仿宋_GB2312" w:hAnsi="宋体" w:eastAsia="仿宋_GB2312" w:cs="Lucida Sans Unicode"/>
          <w:color w:val="auto"/>
          <w:sz w:val="28"/>
          <w:szCs w:val="28"/>
        </w:rPr>
        <w:t>八、自觉接受并积极配合相关监督部门实施的监督检查，如实反映情况，及时提供有关证明材料。</w:t>
      </w:r>
    </w:p>
    <w:p>
      <w:pPr>
        <w:spacing w:line="360" w:lineRule="exact"/>
        <w:ind w:left="3446" w:leftChars="200" w:right="1050" w:rightChars="500" w:hanging="3026" w:hangingChars="1081"/>
        <w:rPr>
          <w:rFonts w:ascii="仿宋_GB2312" w:hAnsi="仿宋_GB2312" w:eastAsia="仿宋_GB2312" w:cs="仿宋_GB2312"/>
          <w:color w:val="auto"/>
          <w:sz w:val="28"/>
          <w:szCs w:val="28"/>
        </w:rPr>
      </w:pPr>
    </w:p>
    <w:p>
      <w:pPr>
        <w:spacing w:line="360" w:lineRule="exact"/>
        <w:ind w:left="3446" w:leftChars="200" w:right="1050" w:rightChars="500" w:hanging="3026" w:hangingChars="1081"/>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投标人：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（公章）</w:t>
      </w:r>
    </w:p>
    <w:p>
      <w:pPr>
        <w:spacing w:line="360" w:lineRule="exact"/>
        <w:ind w:left="3446" w:leftChars="200" w:right="1050" w:rightChars="500" w:hanging="3026" w:hangingChars="1081"/>
        <w:rPr>
          <w:rFonts w:ascii="仿宋_GB2312" w:hAnsi="仿宋_GB2312" w:eastAsia="仿宋_GB2312" w:cs="仿宋_GB2312"/>
          <w:color w:val="auto"/>
          <w:sz w:val="28"/>
          <w:szCs w:val="28"/>
        </w:rPr>
      </w:pPr>
    </w:p>
    <w:p>
      <w:pPr>
        <w:spacing w:line="360" w:lineRule="exact"/>
        <w:ind w:left="3446" w:leftChars="200" w:right="1050" w:rightChars="500" w:hanging="3026" w:hangingChars="1081"/>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法定代表人或其授权代表人：</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(签字或盖章)</w:t>
      </w:r>
    </w:p>
    <w:p>
      <w:pPr>
        <w:spacing w:line="360" w:lineRule="exact"/>
        <w:ind w:left="3446" w:leftChars="200" w:right="1050" w:rightChars="500" w:hanging="3026" w:hangingChars="1081"/>
        <w:rPr>
          <w:rFonts w:ascii="仿宋_GB2312" w:hAnsi="仿宋_GB2312" w:eastAsia="仿宋_GB2312" w:cs="仿宋_GB2312"/>
          <w:color w:val="auto"/>
          <w:sz w:val="28"/>
          <w:szCs w:val="28"/>
          <w:u w:val="single"/>
        </w:rPr>
      </w:pPr>
    </w:p>
    <w:p>
      <w:pPr>
        <w:spacing w:line="360" w:lineRule="exact"/>
        <w:ind w:left="2692" w:leftChars="1282" w:right="1050" w:rightChars="500"/>
        <w:rPr>
          <w:rFonts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日期：</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 xml:space="preserve">年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 xml:space="preserve">月 </w:t>
      </w:r>
      <w:r>
        <w:rPr>
          <w:rFonts w:hint="eastAsia" w:ascii="仿宋_GB2312" w:hAnsi="宋体" w:eastAsia="仿宋_GB2312" w:cs="宋体"/>
          <w:color w:val="auto"/>
          <w:sz w:val="28"/>
          <w:szCs w:val="28"/>
          <w:u w:val="single"/>
        </w:rPr>
        <w:t xml:space="preserve">   </w:t>
      </w:r>
      <w:r>
        <w:rPr>
          <w:rFonts w:hint="eastAsia" w:ascii="仿宋_GB2312" w:hAnsi="宋体" w:eastAsia="仿宋_GB2312" w:cs="宋体"/>
          <w:color w:val="auto"/>
          <w:sz w:val="28"/>
          <w:szCs w:val="28"/>
        </w:rPr>
        <w:t>日</w:t>
      </w:r>
    </w:p>
    <w:p>
      <w:pPr>
        <w:rPr>
          <w:color w:val="auto"/>
          <w:sz w:val="28"/>
          <w:szCs w:val="28"/>
        </w:rPr>
      </w:pPr>
    </w:p>
    <w:p>
      <w:pPr>
        <w:pStyle w:val="2"/>
        <w:rPr>
          <w:color w:val="auto"/>
        </w:rPr>
      </w:pPr>
    </w:p>
    <w:p>
      <w:pPr>
        <w:rPr>
          <w:color w:val="auto"/>
        </w:rPr>
      </w:pPr>
    </w:p>
    <w:p>
      <w:pPr>
        <w:pStyle w:val="2"/>
        <w:rPr>
          <w:color w:val="auto"/>
        </w:rPr>
      </w:pPr>
    </w:p>
    <w:p>
      <w:pPr>
        <w:rPr>
          <w:color w:val="auto"/>
        </w:rPr>
      </w:pPr>
    </w:p>
    <w:p>
      <w:pPr>
        <w:pStyle w:val="16"/>
        <w:spacing w:beforeLines="100" w:after="0" w:line="360" w:lineRule="auto"/>
        <w:ind w:left="0" w:leftChars="0"/>
        <w:jc w:val="left"/>
        <w:rPr>
          <w:rFonts w:ascii="黑体" w:hAnsi="宋体" w:eastAsia="黑体"/>
          <w:color w:val="auto"/>
          <w:sz w:val="36"/>
          <w:szCs w:val="36"/>
        </w:rPr>
      </w:pPr>
      <w:r>
        <w:rPr>
          <w:rFonts w:hint="eastAsia" w:ascii="黑体" w:hAnsi="宋体" w:eastAsia="黑体"/>
          <w:color w:val="auto"/>
          <w:sz w:val="36"/>
          <w:szCs w:val="36"/>
        </w:rPr>
        <w:t>15、投标人认为有必要补充说明的事项</w:t>
      </w: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pStyle w:val="3"/>
        <w:adjustRightInd w:val="0"/>
        <w:snapToGrid w:val="0"/>
        <w:spacing w:before="0" w:after="0" w:line="360" w:lineRule="auto"/>
        <w:jc w:val="center"/>
        <w:rPr>
          <w:rFonts w:ascii="黑体" w:hAnsi="黑体" w:eastAsia="黑体" w:cs="仿宋_GB2312"/>
          <w:color w:val="auto"/>
        </w:rPr>
      </w:pPr>
      <w:bookmarkStart w:id="158" w:name="_Toc73278721"/>
      <w:r>
        <w:rPr>
          <w:rFonts w:hint="eastAsia" w:ascii="黑体" w:hAnsi="黑体" w:eastAsia="黑体" w:cs="仿宋_GB2312"/>
          <w:color w:val="auto"/>
        </w:rPr>
        <w:t>第七章 附 件</w:t>
      </w:r>
      <w:bookmarkEnd w:id="158"/>
    </w:p>
    <w:p>
      <w:pPr>
        <w:pStyle w:val="4"/>
        <w:spacing w:before="0" w:afterLines="50" w:line="360" w:lineRule="auto"/>
        <w:rPr>
          <w:rFonts w:ascii="仿宋_GB2312" w:eastAsia="仿宋_GB2312" w:hAnsiTheme="majorHAnsi" w:cstheme="majorBidi"/>
          <w:bCs w:val="0"/>
          <w:color w:val="auto"/>
          <w:sz w:val="30"/>
          <w:szCs w:val="30"/>
        </w:rPr>
      </w:pPr>
      <w:bookmarkStart w:id="159" w:name="_Toc73278722"/>
      <w:bookmarkStart w:id="160" w:name="_Toc73261676"/>
      <w:r>
        <w:rPr>
          <w:rFonts w:hint="eastAsia" w:ascii="仿宋_GB2312" w:eastAsia="仿宋_GB2312"/>
          <w:bCs w:val="0"/>
          <w:color w:val="auto"/>
          <w:sz w:val="30"/>
          <w:szCs w:val="30"/>
        </w:rPr>
        <w:t>附件一、</w:t>
      </w:r>
      <w:r>
        <w:rPr>
          <w:rFonts w:hint="eastAsia" w:ascii="仿宋_GB2312" w:eastAsia="仿宋_GB2312" w:hAnsiTheme="majorHAnsi"/>
          <w:bCs w:val="0"/>
          <w:color w:val="auto"/>
          <w:sz w:val="30"/>
          <w:szCs w:val="30"/>
        </w:rPr>
        <w:t>陕西省中小企业政府采购信用融资办法</w:t>
      </w:r>
      <w:bookmarkEnd w:id="159"/>
      <w:bookmarkEnd w:id="160"/>
    </w:p>
    <w:p>
      <w:pPr>
        <w:rPr>
          <w:color w:val="auto"/>
        </w:rPr>
      </w:pPr>
    </w:p>
    <w:p>
      <w:pPr>
        <w:wordWrap w:val="0"/>
        <w:adjustRightInd w:val="0"/>
        <w:snapToGrid w:val="0"/>
        <w:spacing w:line="360" w:lineRule="auto"/>
        <w:jc w:val="right"/>
        <w:rPr>
          <w:rFonts w:ascii="黑体" w:hAnsi="黑体" w:eastAsia="黑体"/>
          <w:b/>
          <w:color w:val="auto"/>
          <w:sz w:val="32"/>
          <w:szCs w:val="36"/>
        </w:rPr>
      </w:pPr>
      <w:r>
        <w:rPr>
          <w:rFonts w:hint="eastAsia" w:ascii="黑体" w:hAnsi="黑体" w:eastAsia="黑体"/>
          <w:b/>
          <w:color w:val="auto"/>
          <w:sz w:val="32"/>
          <w:szCs w:val="36"/>
        </w:rPr>
        <w:t>陕西省财政厅关于印发《陕西省中小企业政府采购信用融资办法》</w:t>
      </w:r>
    </w:p>
    <w:p>
      <w:pPr>
        <w:widowControl/>
        <w:shd w:val="clear" w:color="auto" w:fill="FFFFFF"/>
        <w:spacing w:line="500" w:lineRule="exact"/>
        <w:jc w:val="center"/>
        <w:rPr>
          <w:rFonts w:ascii="仿宋_GB2312" w:hAnsi="微软雅黑" w:eastAsia="仿宋_GB2312" w:cs="宋体"/>
          <w:color w:val="auto"/>
          <w:kern w:val="0"/>
          <w:sz w:val="28"/>
          <w:szCs w:val="28"/>
        </w:rPr>
      </w:pPr>
      <w:r>
        <w:rPr>
          <w:rFonts w:hint="eastAsia" w:ascii="仿宋_GB2312" w:hAnsi="微软雅黑" w:eastAsia="仿宋_GB2312" w:cs="宋体"/>
          <w:color w:val="auto"/>
          <w:kern w:val="0"/>
          <w:sz w:val="28"/>
          <w:szCs w:val="28"/>
        </w:rPr>
        <w:t>陕财办采〔2018〕23号</w:t>
      </w:r>
    </w:p>
    <w:p>
      <w:pPr>
        <w:widowControl/>
        <w:spacing w:line="500" w:lineRule="exact"/>
        <w:jc w:val="left"/>
        <w:rPr>
          <w:rFonts w:ascii="仿宋_GB2312" w:hAnsi="微软雅黑" w:eastAsia="仿宋_GB2312" w:cs="宋体"/>
          <w:color w:val="auto"/>
          <w:kern w:val="0"/>
          <w:sz w:val="28"/>
          <w:szCs w:val="28"/>
        </w:rPr>
      </w:pPr>
      <w:r>
        <w:rPr>
          <w:rFonts w:hint="eastAsia" w:ascii="仿宋_GB2312" w:hAnsi="微软雅黑" w:eastAsia="仿宋_GB2312" w:cs="宋体"/>
          <w:color w:val="auto"/>
          <w:kern w:val="0"/>
          <w:sz w:val="28"/>
          <w:szCs w:val="28"/>
          <w:shd w:val="clear" w:color="auto" w:fill="FFFFFF"/>
        </w:rPr>
        <w:t>各设区市、西咸新区、韩城市财政局，省级各部门、单位，各有关金融机构、有关企业：</w:t>
      </w:r>
      <w:r>
        <w:rPr>
          <w:rFonts w:hint="eastAsia" w:ascii="仿宋_GB2312" w:hAnsi="微软雅黑" w:eastAsia="仿宋_GB2312" w:cs="宋体"/>
          <w:color w:val="auto"/>
          <w:kern w:val="0"/>
          <w:sz w:val="28"/>
          <w:szCs w:val="28"/>
        </w:rPr>
        <w:br w:type="textWrapping"/>
      </w:r>
      <w:r>
        <w:rPr>
          <w:rFonts w:hint="eastAsia" w:ascii="仿宋_GB2312" w:hAnsi="微软雅黑" w:eastAsia="仿宋_GB2312" w:cs="宋体"/>
          <w:color w:val="auto"/>
          <w:kern w:val="0"/>
          <w:sz w:val="28"/>
          <w:szCs w:val="28"/>
        </w:rPr>
        <w:t xml:space="preserve">    自2012年起，我省启动了政府采购信用担保融资试点工作，取得了一定成效。为进一步贯彻落实国务院和我省关于支持中小企业发展的政策措施，发挥政府采购政策导向作用，充分利用信息化技术，通过搭建信息对称、相互对接的平台，有效缓解中小企业融资难、融资贵问题。结合我省政府采购信息化建设实际，我们制定了《陕西省中小企业政府采购信用融资办法》，现印发给你们，请遵照执行。</w:t>
      </w:r>
    </w:p>
    <w:p>
      <w:pPr>
        <w:widowControl/>
        <w:shd w:val="clear" w:color="auto" w:fill="FFFFFF"/>
        <w:spacing w:line="500" w:lineRule="exact"/>
        <w:ind w:right="420" w:firstLine="480"/>
        <w:jc w:val="right"/>
        <w:rPr>
          <w:rFonts w:ascii="仿宋_GB2312" w:hAnsi="微软雅黑" w:eastAsia="仿宋_GB2312" w:cs="宋体"/>
          <w:color w:val="auto"/>
          <w:kern w:val="0"/>
          <w:sz w:val="28"/>
          <w:szCs w:val="28"/>
        </w:rPr>
      </w:pPr>
      <w:r>
        <w:rPr>
          <w:rFonts w:hint="eastAsia" w:ascii="仿宋_GB2312" w:hAnsi="微软雅黑" w:eastAsia="仿宋_GB2312" w:cs="宋体"/>
          <w:color w:val="auto"/>
          <w:kern w:val="0"/>
          <w:sz w:val="28"/>
          <w:szCs w:val="28"/>
        </w:rPr>
        <w:t>陕西省财政厅</w:t>
      </w:r>
    </w:p>
    <w:p>
      <w:pPr>
        <w:widowControl/>
        <w:shd w:val="clear" w:color="auto" w:fill="FFFFFF"/>
        <w:spacing w:line="500" w:lineRule="exact"/>
        <w:ind w:firstLine="480"/>
        <w:jc w:val="right"/>
        <w:rPr>
          <w:rFonts w:ascii="仿宋_GB2312" w:hAnsi="微软雅黑" w:eastAsia="仿宋_GB2312" w:cs="宋体"/>
          <w:color w:val="auto"/>
          <w:kern w:val="0"/>
          <w:sz w:val="28"/>
          <w:szCs w:val="28"/>
        </w:rPr>
      </w:pPr>
      <w:r>
        <w:rPr>
          <w:rFonts w:hint="eastAsia" w:ascii="仿宋_GB2312" w:hAnsi="微软雅黑" w:eastAsia="仿宋_GB2312" w:cs="宋体"/>
          <w:color w:val="auto"/>
          <w:kern w:val="0"/>
          <w:sz w:val="28"/>
          <w:szCs w:val="28"/>
        </w:rPr>
        <w:t>2018年10月8日</w:t>
      </w:r>
    </w:p>
    <w:p>
      <w:pPr>
        <w:widowControl/>
        <w:shd w:val="clear" w:color="auto" w:fill="FFFFFF"/>
        <w:spacing w:line="500" w:lineRule="exact"/>
        <w:jc w:val="center"/>
        <w:rPr>
          <w:rFonts w:ascii="仿宋_GB2312" w:hAnsi="微软雅黑" w:eastAsia="仿宋_GB2312" w:cs="宋体"/>
          <w:color w:val="auto"/>
          <w:kern w:val="0"/>
          <w:sz w:val="28"/>
          <w:szCs w:val="28"/>
        </w:rPr>
      </w:pPr>
      <w:r>
        <w:rPr>
          <w:rFonts w:hint="eastAsia" w:ascii="仿宋_GB2312" w:hAnsi="微软雅黑" w:eastAsia="仿宋_GB2312" w:cs="宋体"/>
          <w:color w:val="auto"/>
          <w:kern w:val="0"/>
          <w:sz w:val="28"/>
          <w:szCs w:val="28"/>
        </w:rPr>
        <w:t>陕西省中小企业政府采购信用融资办法</w:t>
      </w:r>
    </w:p>
    <w:p>
      <w:pPr>
        <w:widowControl/>
        <w:snapToGrid w:val="0"/>
        <w:spacing w:line="500" w:lineRule="exact"/>
        <w:ind w:firstLine="560" w:firstLineChars="200"/>
        <w:jc w:val="left"/>
        <w:rPr>
          <w:rFonts w:ascii="仿宋_GB2312" w:hAnsi="微软雅黑" w:eastAsia="仿宋_GB2312" w:cs="宋体"/>
          <w:color w:val="auto"/>
          <w:kern w:val="0"/>
          <w:sz w:val="28"/>
          <w:szCs w:val="28"/>
          <w:shd w:val="clear" w:color="auto" w:fill="FFFFFF"/>
        </w:rPr>
      </w:pPr>
      <w:r>
        <w:rPr>
          <w:rFonts w:hint="eastAsia" w:ascii="仿宋_GB2312" w:hAnsi="微软雅黑" w:eastAsia="仿宋_GB2312" w:cs="宋体"/>
          <w:color w:val="auto"/>
          <w:kern w:val="0"/>
          <w:sz w:val="28"/>
          <w:szCs w:val="28"/>
          <w:shd w:val="clear" w:color="auto" w:fill="FFFFFF"/>
        </w:rPr>
        <w:t>第一条 为进一步贯彻落实国务院和我省关于支持中小企业发展的政策措施，发挥政府采购政策导向作用，充分利用信息化技术，通过搭建信息对称、相互对接的平台，有效缓解中小企业融资难、融资贵问题。 根据《政府采购法》以及《政府采购促进中小企业发展暂行办法》等有关规定，结合本省实际，制定本办法。</w:t>
      </w:r>
      <w:r>
        <w:rPr>
          <w:rFonts w:hint="eastAsia" w:ascii="仿宋_GB2312" w:hAnsi="微软雅黑" w:eastAsia="仿宋_GB2312" w:cs="宋体"/>
          <w:color w:val="auto"/>
          <w:kern w:val="0"/>
          <w:sz w:val="28"/>
          <w:szCs w:val="28"/>
        </w:rPr>
        <w:br w:type="textWrapping"/>
      </w:r>
      <w:r>
        <w:rPr>
          <w:rFonts w:hint="eastAsia" w:ascii="仿宋_GB2312" w:hAnsi="微软雅黑" w:eastAsia="仿宋_GB2312" w:cs="宋体"/>
          <w:color w:val="auto"/>
          <w:kern w:val="0"/>
          <w:sz w:val="28"/>
          <w:szCs w:val="28"/>
          <w:shd w:val="clear" w:color="auto" w:fill="FFFFFF"/>
        </w:rPr>
        <w:t>　　第二条</w:t>
      </w:r>
      <w:r>
        <w:rPr>
          <w:rFonts w:hint="eastAsia" w:ascii="微软雅黑" w:hAnsi="微软雅黑" w:eastAsia="仿宋_GB2312" w:cs="宋体"/>
          <w:color w:val="auto"/>
          <w:kern w:val="0"/>
          <w:sz w:val="28"/>
          <w:szCs w:val="28"/>
          <w:shd w:val="clear" w:color="auto" w:fill="FFFFFF"/>
        </w:rPr>
        <w:t> </w:t>
      </w:r>
      <w:r>
        <w:rPr>
          <w:rFonts w:hint="eastAsia" w:ascii="仿宋_GB2312" w:hAnsi="微软雅黑" w:eastAsia="仿宋_GB2312" w:cs="宋体"/>
          <w:color w:val="auto"/>
          <w:kern w:val="0"/>
          <w:sz w:val="28"/>
          <w:szCs w:val="28"/>
          <w:shd w:val="clear" w:color="auto" w:fill="FFFFFF"/>
        </w:rPr>
        <w:t xml:space="preserve"> 本办法所称“中小企业”包括中型、小型及微型企业，其划型标准按照《关于印发中小企业划型标准规定的通知》（工信部联企业〔2011〕300号）规定执行。</w:t>
      </w:r>
      <w:r>
        <w:rPr>
          <w:rFonts w:hint="eastAsia" w:ascii="仿宋_GB2312" w:hAnsi="微软雅黑" w:eastAsia="仿宋_GB2312" w:cs="宋体"/>
          <w:color w:val="auto"/>
          <w:kern w:val="0"/>
          <w:sz w:val="28"/>
          <w:szCs w:val="28"/>
        </w:rPr>
        <w:br w:type="textWrapping"/>
      </w:r>
      <w:r>
        <w:rPr>
          <w:rFonts w:hint="eastAsia" w:ascii="仿宋_GB2312" w:hAnsi="微软雅黑" w:eastAsia="仿宋_GB2312" w:cs="宋体"/>
          <w:color w:val="auto"/>
          <w:kern w:val="0"/>
          <w:sz w:val="28"/>
          <w:szCs w:val="28"/>
          <w:shd w:val="clear" w:color="auto" w:fill="FFFFFF"/>
        </w:rPr>
        <w:t>　　第三条</w:t>
      </w:r>
      <w:r>
        <w:rPr>
          <w:rFonts w:hint="eastAsia" w:ascii="微软雅黑" w:hAnsi="微软雅黑" w:eastAsia="仿宋_GB2312" w:cs="宋体"/>
          <w:color w:val="auto"/>
          <w:kern w:val="0"/>
          <w:sz w:val="28"/>
          <w:szCs w:val="28"/>
          <w:shd w:val="clear" w:color="auto" w:fill="FFFFFF"/>
        </w:rPr>
        <w:t> </w:t>
      </w:r>
      <w:r>
        <w:rPr>
          <w:rFonts w:hint="eastAsia" w:ascii="仿宋_GB2312" w:hAnsi="微软雅黑" w:eastAsia="仿宋_GB2312" w:cs="宋体"/>
          <w:color w:val="auto"/>
          <w:kern w:val="0"/>
          <w:sz w:val="28"/>
          <w:szCs w:val="28"/>
          <w:shd w:val="clear" w:color="auto" w:fill="FFFFFF"/>
        </w:rPr>
        <w:t xml:space="preserve"> 本办法所称的政府采购信用融资，是指银行业金融机构（以下简称银行）以政府采购诚信考核和信用审查为基础，凭借政府采购合同，按优于一般中小企业的贷款利率直接向申请贷款的供应商发放贷款的一种融资方式。</w:t>
      </w:r>
      <w:r>
        <w:rPr>
          <w:rFonts w:hint="eastAsia" w:ascii="仿宋_GB2312" w:hAnsi="微软雅黑" w:eastAsia="仿宋_GB2312" w:cs="宋体"/>
          <w:color w:val="auto"/>
          <w:kern w:val="0"/>
          <w:sz w:val="28"/>
          <w:szCs w:val="28"/>
        </w:rPr>
        <w:br w:type="textWrapping"/>
      </w:r>
      <w:r>
        <w:rPr>
          <w:rFonts w:hint="eastAsia" w:ascii="仿宋_GB2312" w:hAnsi="微软雅黑" w:eastAsia="仿宋_GB2312" w:cs="宋体"/>
          <w:color w:val="auto"/>
          <w:kern w:val="0"/>
          <w:sz w:val="28"/>
          <w:szCs w:val="28"/>
          <w:shd w:val="clear" w:color="auto" w:fill="FFFFFF"/>
        </w:rPr>
        <w:t>　　第四条</w:t>
      </w:r>
      <w:r>
        <w:rPr>
          <w:rFonts w:hint="eastAsia" w:ascii="微软雅黑" w:hAnsi="微软雅黑" w:eastAsia="仿宋_GB2312" w:cs="宋体"/>
          <w:color w:val="auto"/>
          <w:kern w:val="0"/>
          <w:sz w:val="28"/>
          <w:szCs w:val="28"/>
          <w:shd w:val="clear" w:color="auto" w:fill="FFFFFF"/>
        </w:rPr>
        <w:t> </w:t>
      </w:r>
      <w:r>
        <w:rPr>
          <w:rFonts w:hint="eastAsia" w:ascii="仿宋_GB2312" w:hAnsi="微软雅黑" w:eastAsia="仿宋_GB2312" w:cs="宋体"/>
          <w:color w:val="auto"/>
          <w:kern w:val="0"/>
          <w:sz w:val="28"/>
          <w:szCs w:val="28"/>
          <w:shd w:val="clear" w:color="auto" w:fill="FFFFFF"/>
        </w:rPr>
        <w:t xml:space="preserve"> 开展政府采购信用融资的银行，应当为在陕西省境内注册或设立分支机构，并经财政部门审核且在我省政府采购信息系统搭建服务链接窗口的金融机构。</w:t>
      </w:r>
      <w:r>
        <w:rPr>
          <w:rFonts w:hint="eastAsia" w:ascii="仿宋_GB2312" w:hAnsi="微软雅黑" w:eastAsia="仿宋_GB2312" w:cs="宋体"/>
          <w:color w:val="auto"/>
          <w:kern w:val="0"/>
          <w:sz w:val="28"/>
          <w:szCs w:val="28"/>
        </w:rPr>
        <w:br w:type="textWrapping"/>
      </w:r>
      <w:r>
        <w:rPr>
          <w:rFonts w:hint="eastAsia" w:ascii="仿宋_GB2312" w:hAnsi="微软雅黑" w:eastAsia="仿宋_GB2312" w:cs="宋体"/>
          <w:color w:val="auto"/>
          <w:kern w:val="0"/>
          <w:sz w:val="28"/>
          <w:szCs w:val="28"/>
          <w:shd w:val="clear" w:color="auto" w:fill="FFFFFF"/>
        </w:rPr>
        <w:t>　　第五条</w:t>
      </w:r>
      <w:r>
        <w:rPr>
          <w:rFonts w:hint="eastAsia" w:ascii="微软雅黑" w:hAnsi="微软雅黑" w:eastAsia="仿宋_GB2312" w:cs="宋体"/>
          <w:color w:val="auto"/>
          <w:kern w:val="0"/>
          <w:sz w:val="28"/>
          <w:szCs w:val="28"/>
          <w:shd w:val="clear" w:color="auto" w:fill="FFFFFF"/>
        </w:rPr>
        <w:t> </w:t>
      </w:r>
      <w:r>
        <w:rPr>
          <w:rFonts w:hint="eastAsia" w:ascii="仿宋_GB2312" w:hAnsi="微软雅黑" w:eastAsia="仿宋_GB2312" w:cs="宋体"/>
          <w:color w:val="auto"/>
          <w:kern w:val="0"/>
          <w:sz w:val="28"/>
          <w:szCs w:val="28"/>
          <w:shd w:val="clear" w:color="auto" w:fill="FFFFFF"/>
        </w:rPr>
        <w:t xml:space="preserve"> 政府采购信用融资应当坚持“财政引导，市场运行，银企自愿，互惠共赢”的原则。</w:t>
      </w:r>
      <w:r>
        <w:rPr>
          <w:rFonts w:hint="eastAsia" w:ascii="仿宋_GB2312" w:hAnsi="微软雅黑" w:eastAsia="仿宋_GB2312" w:cs="宋体"/>
          <w:color w:val="auto"/>
          <w:kern w:val="0"/>
          <w:sz w:val="28"/>
          <w:szCs w:val="28"/>
        </w:rPr>
        <w:br w:type="textWrapping"/>
      </w:r>
      <w:r>
        <w:rPr>
          <w:rFonts w:hint="eastAsia" w:ascii="仿宋_GB2312" w:hAnsi="微软雅黑" w:eastAsia="仿宋_GB2312" w:cs="宋体"/>
          <w:color w:val="auto"/>
          <w:kern w:val="0"/>
          <w:sz w:val="28"/>
          <w:szCs w:val="28"/>
          <w:shd w:val="clear" w:color="auto" w:fill="FFFFFF"/>
        </w:rPr>
        <w:t>　　第六条 省财政厅以全省统一的电子化政府采购系统为平台，对接银行信息化系统，推进政府采购中标成交信息、合同信息、融资信息、支付信息和信用信息等信息资源共享。</w:t>
      </w:r>
      <w:r>
        <w:rPr>
          <w:rFonts w:hint="eastAsia" w:ascii="仿宋_GB2312" w:hAnsi="微软雅黑" w:eastAsia="仿宋_GB2312" w:cs="宋体"/>
          <w:color w:val="auto"/>
          <w:kern w:val="0"/>
          <w:sz w:val="28"/>
          <w:szCs w:val="28"/>
        </w:rPr>
        <w:br w:type="textWrapping"/>
      </w:r>
      <w:r>
        <w:rPr>
          <w:rFonts w:hint="eastAsia" w:ascii="仿宋_GB2312" w:hAnsi="微软雅黑" w:eastAsia="仿宋_GB2312" w:cs="宋体"/>
          <w:color w:val="auto"/>
          <w:kern w:val="0"/>
          <w:sz w:val="28"/>
          <w:szCs w:val="28"/>
          <w:shd w:val="clear" w:color="auto" w:fill="FFFFFF"/>
        </w:rPr>
        <w:t>　　第七条 各级财政部门应当以政府采购诚信考核和信息化建设为基础，积极为中小企业信用融资搭建平台，提供银企对接的机会和相关的服务支持，但不得为相关贷款项目提供任何形式的担保。</w:t>
      </w:r>
      <w:r>
        <w:rPr>
          <w:rFonts w:hint="eastAsia" w:ascii="仿宋_GB2312" w:hAnsi="微软雅黑" w:eastAsia="仿宋_GB2312" w:cs="宋体"/>
          <w:color w:val="auto"/>
          <w:kern w:val="0"/>
          <w:sz w:val="28"/>
          <w:szCs w:val="28"/>
        </w:rPr>
        <w:br w:type="textWrapping"/>
      </w:r>
      <w:r>
        <w:rPr>
          <w:rFonts w:hint="eastAsia" w:ascii="仿宋_GB2312" w:hAnsi="微软雅黑" w:eastAsia="仿宋_GB2312" w:cs="宋体"/>
          <w:color w:val="auto"/>
          <w:kern w:val="0"/>
          <w:sz w:val="28"/>
          <w:szCs w:val="28"/>
          <w:shd w:val="clear" w:color="auto" w:fill="FFFFFF"/>
        </w:rPr>
        <w:t>　　第八条</w:t>
      </w:r>
      <w:r>
        <w:rPr>
          <w:rFonts w:hint="eastAsia" w:ascii="微软雅黑" w:hAnsi="微软雅黑" w:eastAsia="仿宋_GB2312" w:cs="宋体"/>
          <w:color w:val="auto"/>
          <w:kern w:val="0"/>
          <w:sz w:val="28"/>
          <w:szCs w:val="28"/>
          <w:shd w:val="clear" w:color="auto" w:fill="FFFFFF"/>
        </w:rPr>
        <w:t> </w:t>
      </w:r>
      <w:r>
        <w:rPr>
          <w:rFonts w:hint="eastAsia" w:ascii="仿宋_GB2312" w:hAnsi="微软雅黑" w:eastAsia="仿宋_GB2312" w:cs="宋体"/>
          <w:color w:val="auto"/>
          <w:kern w:val="0"/>
          <w:sz w:val="28"/>
          <w:szCs w:val="28"/>
          <w:shd w:val="clear" w:color="auto" w:fill="FFFFFF"/>
        </w:rPr>
        <w:t xml:space="preserve"> 各银行可自主决定是否提供政府采购信用融资以及融资额度，并与供应商签订融资协议；各供应商也可自行决定是否参加政府采购信用融资，并自愿选择合适的融资银行及在该银行开设银行账户。任何单位和个人均不得干预银企双方开展政府采购信用融资业务。</w:t>
      </w:r>
      <w:r>
        <w:rPr>
          <w:rFonts w:hint="eastAsia" w:ascii="仿宋_GB2312" w:hAnsi="微软雅黑" w:eastAsia="仿宋_GB2312" w:cs="宋体"/>
          <w:color w:val="auto"/>
          <w:kern w:val="0"/>
          <w:sz w:val="28"/>
          <w:szCs w:val="28"/>
        </w:rPr>
        <w:br w:type="textWrapping"/>
      </w:r>
      <w:r>
        <w:rPr>
          <w:rFonts w:hint="eastAsia" w:ascii="仿宋_GB2312" w:hAnsi="微软雅黑" w:eastAsia="仿宋_GB2312" w:cs="宋体"/>
          <w:color w:val="auto"/>
          <w:kern w:val="0"/>
          <w:sz w:val="28"/>
          <w:szCs w:val="28"/>
          <w:shd w:val="clear" w:color="auto" w:fill="FFFFFF"/>
        </w:rPr>
        <w:t>　　第九条 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r>
        <w:rPr>
          <w:rFonts w:hint="eastAsia" w:ascii="仿宋_GB2312" w:hAnsi="微软雅黑" w:eastAsia="仿宋_GB2312" w:cs="宋体"/>
          <w:color w:val="auto"/>
          <w:kern w:val="0"/>
          <w:sz w:val="28"/>
          <w:szCs w:val="28"/>
        </w:rPr>
        <w:br w:type="textWrapping"/>
      </w:r>
      <w:r>
        <w:rPr>
          <w:rFonts w:hint="eastAsia" w:ascii="仿宋_GB2312" w:hAnsi="微软雅黑" w:eastAsia="仿宋_GB2312" w:cs="宋体"/>
          <w:color w:val="auto"/>
          <w:kern w:val="0"/>
          <w:sz w:val="28"/>
          <w:szCs w:val="28"/>
          <w:shd w:val="clear" w:color="auto" w:fill="FFFFFF"/>
        </w:rPr>
        <w:t>　　第十条 银行为参与政府采购融资的中小企业提供的产品，应以信用贷款为主，贷款利率应当优于一般中小企业的贷款利率水平，并将产品信息（包括贷款发放条件、利率优惠、贷款金额）等在陕西政府采购网予以展示。</w:t>
      </w:r>
      <w:r>
        <w:rPr>
          <w:rFonts w:hint="eastAsia" w:ascii="仿宋_GB2312" w:hAnsi="微软雅黑" w:eastAsia="仿宋_GB2312" w:cs="宋体"/>
          <w:color w:val="auto"/>
          <w:kern w:val="0"/>
          <w:sz w:val="28"/>
          <w:szCs w:val="28"/>
        </w:rPr>
        <w:br w:type="textWrapping"/>
      </w:r>
      <w:r>
        <w:rPr>
          <w:rFonts w:hint="eastAsia" w:ascii="仿宋_GB2312" w:hAnsi="微软雅黑" w:eastAsia="仿宋_GB2312" w:cs="宋体"/>
          <w:color w:val="auto"/>
          <w:kern w:val="0"/>
          <w:sz w:val="28"/>
          <w:szCs w:val="28"/>
          <w:shd w:val="clear" w:color="auto" w:fill="FFFFFF"/>
        </w:rPr>
        <w:t>　　第十一条 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r>
        <w:rPr>
          <w:rFonts w:hint="eastAsia" w:ascii="仿宋_GB2312" w:hAnsi="微软雅黑" w:eastAsia="仿宋_GB2312" w:cs="宋体"/>
          <w:color w:val="auto"/>
          <w:kern w:val="0"/>
          <w:sz w:val="28"/>
          <w:szCs w:val="28"/>
        </w:rPr>
        <w:br w:type="textWrapping"/>
      </w:r>
      <w:r>
        <w:rPr>
          <w:rFonts w:hint="eastAsia" w:ascii="仿宋_GB2312" w:hAnsi="微软雅黑" w:eastAsia="仿宋_GB2312" w:cs="宋体"/>
          <w:color w:val="auto"/>
          <w:kern w:val="0"/>
          <w:sz w:val="28"/>
          <w:szCs w:val="28"/>
          <w:shd w:val="clear" w:color="auto" w:fill="FFFFFF"/>
        </w:rPr>
        <w:t>　　第十二条 银行应按规定对申请信用融资的供应商的政府采购合同信息进行审查，必要时可通过陕西政府采购网对该政府采购合同进行审核，以确保政府采购合同的真实性和有效性。</w:t>
      </w:r>
      <w:r>
        <w:rPr>
          <w:rFonts w:hint="eastAsia" w:ascii="仿宋_GB2312" w:hAnsi="微软雅黑" w:eastAsia="仿宋_GB2312" w:cs="宋体"/>
          <w:color w:val="auto"/>
          <w:kern w:val="0"/>
          <w:sz w:val="28"/>
          <w:szCs w:val="28"/>
        </w:rPr>
        <w:br w:type="textWrapping"/>
      </w:r>
      <w:r>
        <w:rPr>
          <w:rFonts w:hint="eastAsia" w:ascii="仿宋_GB2312" w:hAnsi="微软雅黑" w:eastAsia="仿宋_GB2312" w:cs="宋体"/>
          <w:color w:val="auto"/>
          <w:kern w:val="0"/>
          <w:sz w:val="28"/>
          <w:szCs w:val="28"/>
          <w:shd w:val="clear" w:color="auto" w:fill="FFFFFF"/>
        </w:rPr>
        <w:t>　　第十三条 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r>
        <w:rPr>
          <w:rFonts w:hint="eastAsia" w:ascii="仿宋_GB2312" w:hAnsi="微软雅黑" w:eastAsia="仿宋_GB2312" w:cs="宋体"/>
          <w:color w:val="auto"/>
          <w:kern w:val="0"/>
          <w:sz w:val="28"/>
          <w:szCs w:val="28"/>
        </w:rPr>
        <w:br w:type="textWrapping"/>
      </w:r>
      <w:r>
        <w:rPr>
          <w:rFonts w:hint="eastAsia" w:ascii="仿宋_GB2312" w:hAnsi="微软雅黑" w:eastAsia="仿宋_GB2312" w:cs="宋体"/>
          <w:color w:val="auto"/>
          <w:kern w:val="0"/>
          <w:sz w:val="28"/>
          <w:szCs w:val="28"/>
          <w:shd w:val="clear" w:color="auto" w:fill="FFFFFF"/>
        </w:rPr>
        <w:t>　　第十四条 各银行应当建立政府采购合同融资绿色通道，配备专业人员定向服务，简化贷款审批程序，制定相应业务管理规范，审核无误后，银行应当凭合同和事先约定的优惠利率及时予以放款，提供快捷、方便、专业的融资服务。</w:t>
      </w:r>
      <w:r>
        <w:rPr>
          <w:rFonts w:hint="eastAsia" w:ascii="仿宋_GB2312" w:hAnsi="微软雅黑" w:eastAsia="仿宋_GB2312" w:cs="宋体"/>
          <w:color w:val="auto"/>
          <w:kern w:val="0"/>
          <w:sz w:val="28"/>
          <w:szCs w:val="28"/>
        </w:rPr>
        <w:br w:type="textWrapping"/>
      </w:r>
      <w:r>
        <w:rPr>
          <w:rFonts w:hint="eastAsia" w:ascii="仿宋_GB2312" w:hAnsi="微软雅黑" w:eastAsia="仿宋_GB2312" w:cs="宋体"/>
          <w:color w:val="auto"/>
          <w:kern w:val="0"/>
          <w:sz w:val="28"/>
          <w:szCs w:val="28"/>
          <w:shd w:val="clear" w:color="auto" w:fill="FFFFFF"/>
        </w:rPr>
        <w:t>　　第十五条 省本级政府采购资金支付时，各采购单位必须将采购资金支付到备案合同中指定的融资银行及收款账号，以保障贷款资金的安全回收。</w:t>
      </w:r>
      <w:r>
        <w:rPr>
          <w:rFonts w:hint="eastAsia" w:ascii="仿宋_GB2312" w:hAnsi="微软雅黑" w:eastAsia="仿宋_GB2312" w:cs="宋体"/>
          <w:color w:val="auto"/>
          <w:kern w:val="0"/>
          <w:sz w:val="28"/>
          <w:szCs w:val="28"/>
        </w:rPr>
        <w:br w:type="textWrapping"/>
      </w:r>
      <w:r>
        <w:rPr>
          <w:rFonts w:hint="eastAsia" w:ascii="仿宋_GB2312" w:hAnsi="微软雅黑" w:eastAsia="仿宋_GB2312" w:cs="宋体"/>
          <w:color w:val="auto"/>
          <w:kern w:val="0"/>
          <w:sz w:val="28"/>
          <w:szCs w:val="28"/>
          <w:shd w:val="clear" w:color="auto" w:fill="FFFFFF"/>
        </w:rPr>
        <w:t>　　第十六条 各市县操作程序由各地结合本地实际自行拟定，但应当体现“便捷高效、监管有效、风险可控”的原则。</w:t>
      </w:r>
      <w:r>
        <w:rPr>
          <w:rFonts w:hint="eastAsia" w:ascii="仿宋_GB2312" w:hAnsi="微软雅黑" w:eastAsia="仿宋_GB2312" w:cs="宋体"/>
          <w:color w:val="auto"/>
          <w:kern w:val="0"/>
          <w:sz w:val="28"/>
          <w:szCs w:val="28"/>
        </w:rPr>
        <w:br w:type="textWrapping"/>
      </w:r>
      <w:r>
        <w:rPr>
          <w:rFonts w:hint="eastAsia" w:ascii="仿宋_GB2312" w:hAnsi="微软雅黑" w:eastAsia="仿宋_GB2312" w:cs="宋体"/>
          <w:color w:val="auto"/>
          <w:kern w:val="0"/>
          <w:sz w:val="28"/>
          <w:szCs w:val="28"/>
          <w:shd w:val="clear" w:color="auto" w:fill="FFFFFF"/>
        </w:rPr>
        <w:t>　　第十七条 供应商弄虚作假或以伪造政府采购合同等方式违规获取政府采购信用融资，或无故不及时还款的，或出现其他违反本办法规定情形的，除按融资合同约定承担违约责任外，同级财政部门应当将其行为按“不良行为”记入供应商诚信档案；情节严重的，应记入供应商“黑名单”；涉嫌犯罪的，移送司法机关处理。</w:t>
      </w:r>
      <w:r>
        <w:rPr>
          <w:rFonts w:hint="eastAsia" w:ascii="仿宋_GB2312" w:hAnsi="微软雅黑" w:eastAsia="仿宋_GB2312" w:cs="宋体"/>
          <w:color w:val="auto"/>
          <w:kern w:val="0"/>
          <w:sz w:val="28"/>
          <w:szCs w:val="28"/>
        </w:rPr>
        <w:br w:type="textWrapping"/>
      </w:r>
      <w:r>
        <w:rPr>
          <w:rFonts w:hint="eastAsia" w:ascii="仿宋_GB2312" w:hAnsi="微软雅黑" w:eastAsia="仿宋_GB2312" w:cs="宋体"/>
          <w:color w:val="auto"/>
          <w:kern w:val="0"/>
          <w:sz w:val="28"/>
          <w:szCs w:val="28"/>
          <w:shd w:val="clear" w:color="auto" w:fill="FFFFFF"/>
        </w:rPr>
        <w:t>　　第十八条 本办法由陕西省财政厅负责解释。</w:t>
      </w:r>
      <w:r>
        <w:rPr>
          <w:rFonts w:hint="eastAsia" w:ascii="仿宋_GB2312" w:hAnsi="微软雅黑" w:eastAsia="仿宋_GB2312" w:cs="宋体"/>
          <w:color w:val="auto"/>
          <w:kern w:val="0"/>
          <w:sz w:val="28"/>
          <w:szCs w:val="28"/>
        </w:rPr>
        <w:br w:type="textWrapping"/>
      </w:r>
      <w:r>
        <w:rPr>
          <w:rFonts w:hint="eastAsia" w:ascii="仿宋_GB2312" w:hAnsi="微软雅黑" w:eastAsia="仿宋_GB2312" w:cs="宋体"/>
          <w:color w:val="auto"/>
          <w:kern w:val="0"/>
          <w:sz w:val="28"/>
          <w:szCs w:val="28"/>
          <w:shd w:val="clear" w:color="auto" w:fill="FFFFFF"/>
        </w:rPr>
        <w:t>　　第十九条 本办法自2018年11月1日起施行。</w:t>
      </w:r>
    </w:p>
    <w:p>
      <w:pPr>
        <w:widowControl/>
        <w:snapToGrid w:val="0"/>
        <w:spacing w:line="500" w:lineRule="exact"/>
        <w:jc w:val="left"/>
        <w:rPr>
          <w:rFonts w:ascii="仿宋_GB2312" w:hAnsi="微软雅黑" w:eastAsia="仿宋_GB2312" w:cs="宋体"/>
          <w:color w:val="auto"/>
          <w:kern w:val="0"/>
          <w:sz w:val="28"/>
          <w:szCs w:val="28"/>
          <w:shd w:val="clear" w:color="auto" w:fill="FFFFFF"/>
        </w:rPr>
      </w:pPr>
    </w:p>
    <w:p>
      <w:pPr>
        <w:widowControl/>
        <w:snapToGrid w:val="0"/>
        <w:spacing w:line="500" w:lineRule="exact"/>
        <w:jc w:val="left"/>
        <w:rPr>
          <w:rFonts w:ascii="仿宋_GB2312" w:hAnsi="微软雅黑" w:eastAsia="仿宋_GB2312" w:cs="宋体"/>
          <w:color w:val="auto"/>
          <w:kern w:val="0"/>
          <w:sz w:val="28"/>
          <w:szCs w:val="28"/>
          <w:shd w:val="clear" w:color="auto" w:fill="FFFFFF"/>
        </w:rPr>
      </w:pPr>
    </w:p>
    <w:p>
      <w:pPr>
        <w:widowControl/>
        <w:snapToGrid w:val="0"/>
        <w:spacing w:line="500" w:lineRule="exact"/>
        <w:jc w:val="left"/>
        <w:rPr>
          <w:rFonts w:ascii="仿宋_GB2312" w:hAnsi="微软雅黑" w:eastAsia="仿宋_GB2312" w:cs="宋体"/>
          <w:color w:val="auto"/>
          <w:kern w:val="0"/>
          <w:sz w:val="28"/>
          <w:szCs w:val="28"/>
          <w:shd w:val="clear" w:color="auto" w:fill="FFFFFF"/>
        </w:rPr>
      </w:pPr>
    </w:p>
    <w:p>
      <w:pPr>
        <w:widowControl/>
        <w:snapToGrid w:val="0"/>
        <w:spacing w:line="500" w:lineRule="exact"/>
        <w:jc w:val="left"/>
        <w:rPr>
          <w:rFonts w:ascii="仿宋_GB2312" w:hAnsi="微软雅黑" w:eastAsia="仿宋_GB2312" w:cs="宋体"/>
          <w:color w:val="auto"/>
          <w:kern w:val="0"/>
          <w:sz w:val="28"/>
          <w:szCs w:val="28"/>
          <w:shd w:val="clear" w:color="auto" w:fill="FFFFFF"/>
        </w:rPr>
      </w:pPr>
    </w:p>
    <w:p>
      <w:pPr>
        <w:widowControl/>
        <w:snapToGrid w:val="0"/>
        <w:spacing w:line="500" w:lineRule="exact"/>
        <w:jc w:val="left"/>
        <w:rPr>
          <w:rFonts w:ascii="仿宋_GB2312" w:hAnsi="微软雅黑" w:eastAsia="仿宋_GB2312" w:cs="宋体"/>
          <w:color w:val="auto"/>
          <w:kern w:val="0"/>
          <w:sz w:val="28"/>
          <w:szCs w:val="28"/>
          <w:shd w:val="clear" w:color="auto" w:fill="FFFFFF"/>
        </w:rPr>
      </w:pPr>
    </w:p>
    <w:p>
      <w:pPr>
        <w:widowControl/>
        <w:snapToGrid w:val="0"/>
        <w:spacing w:line="500" w:lineRule="exact"/>
        <w:jc w:val="left"/>
        <w:rPr>
          <w:rFonts w:ascii="仿宋_GB2312" w:hAnsi="微软雅黑" w:eastAsia="仿宋_GB2312" w:cs="宋体"/>
          <w:color w:val="auto"/>
          <w:kern w:val="0"/>
          <w:sz w:val="28"/>
          <w:szCs w:val="28"/>
          <w:shd w:val="clear" w:color="auto" w:fill="FFFFFF"/>
        </w:rPr>
      </w:pPr>
    </w:p>
    <w:p>
      <w:pPr>
        <w:pStyle w:val="4"/>
        <w:spacing w:afterLines="50" w:line="360" w:lineRule="auto"/>
        <w:rPr>
          <w:rFonts w:ascii="仿宋_GB2312" w:eastAsia="仿宋_GB2312" w:hAnsiTheme="majorHAnsi" w:cstheme="majorBidi"/>
          <w:bCs w:val="0"/>
          <w:color w:val="auto"/>
          <w:sz w:val="30"/>
          <w:szCs w:val="30"/>
        </w:rPr>
      </w:pPr>
      <w:bookmarkStart w:id="161" w:name="_Toc73278723"/>
      <w:bookmarkStart w:id="162" w:name="_Toc73261677"/>
      <w:r>
        <w:rPr>
          <w:rFonts w:hint="eastAsia" w:ascii="仿宋_GB2312" w:eastAsia="仿宋_GB2312"/>
          <w:bCs w:val="0"/>
          <w:color w:val="auto"/>
          <w:sz w:val="30"/>
          <w:szCs w:val="30"/>
        </w:rPr>
        <w:t>附件二、关于加快推进我省中小企业政府采购信用融资工作的通知</w:t>
      </w:r>
      <w:bookmarkEnd w:id="161"/>
      <w:bookmarkEnd w:id="162"/>
    </w:p>
    <w:p>
      <w:pPr>
        <w:adjustRightInd w:val="0"/>
        <w:snapToGrid w:val="0"/>
        <w:spacing w:line="360" w:lineRule="auto"/>
        <w:jc w:val="center"/>
        <w:rPr>
          <w:rFonts w:ascii="黑体" w:hAnsi="黑体" w:eastAsia="黑体"/>
          <w:b/>
          <w:color w:val="auto"/>
          <w:sz w:val="30"/>
          <w:szCs w:val="30"/>
        </w:rPr>
      </w:pPr>
      <w:r>
        <w:rPr>
          <w:rFonts w:ascii="黑体" w:hAnsi="黑体" w:eastAsia="黑体"/>
          <w:b/>
          <w:color w:val="auto"/>
          <w:sz w:val="30"/>
          <w:szCs w:val="30"/>
        </w:rPr>
        <w:t>陕西省财政厅关于加快推进我省中小企业</w:t>
      </w:r>
    </w:p>
    <w:p>
      <w:pPr>
        <w:adjustRightInd w:val="0"/>
        <w:snapToGrid w:val="0"/>
        <w:spacing w:line="360" w:lineRule="auto"/>
        <w:jc w:val="center"/>
        <w:rPr>
          <w:rFonts w:ascii="黑体" w:hAnsi="黑体" w:eastAsia="黑体"/>
          <w:b/>
          <w:color w:val="auto"/>
          <w:sz w:val="30"/>
          <w:szCs w:val="30"/>
        </w:rPr>
      </w:pPr>
      <w:r>
        <w:rPr>
          <w:rFonts w:ascii="黑体" w:hAnsi="黑体" w:eastAsia="黑体"/>
          <w:b/>
          <w:color w:val="auto"/>
          <w:sz w:val="30"/>
          <w:szCs w:val="30"/>
        </w:rPr>
        <w:t>政府采购信用融资工作的通知</w:t>
      </w:r>
    </w:p>
    <w:p>
      <w:pPr>
        <w:spacing w:beforeLines="50" w:line="460" w:lineRule="exact"/>
        <w:ind w:right="1050" w:rightChars="500"/>
        <w:jc w:val="center"/>
        <w:rPr>
          <w:rFonts w:ascii="仿宋_GB2312" w:hAnsi="仿宋_GB2312" w:eastAsia="仿宋_GB2312" w:cs="仿宋_GB2312"/>
          <w:color w:val="auto"/>
          <w:sz w:val="28"/>
          <w:szCs w:val="28"/>
          <w:u w:val="single"/>
        </w:rPr>
      </w:pPr>
      <w:r>
        <w:rPr>
          <w:rFonts w:hint="eastAsia" w:ascii="仿宋_GB2312" w:hAnsi="微软雅黑" w:eastAsia="仿宋_GB2312" w:cs="Helvetica"/>
          <w:color w:val="auto"/>
          <w:sz w:val="28"/>
          <w:szCs w:val="28"/>
        </w:rPr>
        <w:t xml:space="preserve">    陕财办采〔2020〕15 号</w:t>
      </w:r>
    </w:p>
    <w:p>
      <w:pPr>
        <w:widowControl/>
        <w:spacing w:beforeLines="100" w:line="500" w:lineRule="exact"/>
        <w:jc w:val="left"/>
        <w:rPr>
          <w:rFonts w:ascii="仿宋_GB2312" w:hAnsi="微软雅黑" w:eastAsia="仿宋_GB2312" w:cs="Helvetica"/>
          <w:color w:val="auto"/>
          <w:kern w:val="0"/>
          <w:sz w:val="28"/>
          <w:szCs w:val="28"/>
        </w:rPr>
      </w:pPr>
      <w:r>
        <w:rPr>
          <w:rFonts w:hint="eastAsia" w:ascii="仿宋_GB2312" w:hAnsi="微软雅黑" w:eastAsia="仿宋_GB2312" w:cs="Helvetica"/>
          <w:color w:val="auto"/>
          <w:kern w:val="0"/>
          <w:sz w:val="28"/>
          <w:szCs w:val="28"/>
        </w:rPr>
        <w:t>省级各部门，各设区市、杨凌示范区、西咸新区财政局，各政府采购代理机构，有关金融机构：</w:t>
      </w:r>
    </w:p>
    <w:p>
      <w:pPr>
        <w:widowControl/>
        <w:spacing w:line="500" w:lineRule="exact"/>
        <w:ind w:firstLine="560" w:firstLineChars="200"/>
        <w:jc w:val="left"/>
        <w:rPr>
          <w:rFonts w:ascii="仿宋_GB2312" w:hAnsi="微软雅黑" w:eastAsia="仿宋_GB2312" w:cs="Helvetica"/>
          <w:color w:val="auto"/>
          <w:kern w:val="0"/>
          <w:sz w:val="28"/>
          <w:szCs w:val="28"/>
        </w:rPr>
      </w:pPr>
      <w:r>
        <w:rPr>
          <w:rFonts w:hint="eastAsia" w:ascii="仿宋_GB2312" w:hAnsi="微软雅黑" w:eastAsia="仿宋_GB2312" w:cs="Helvetica"/>
          <w:color w:val="auto"/>
          <w:kern w:val="0"/>
          <w:sz w:val="28"/>
          <w:szCs w:val="28"/>
        </w:rPr>
        <w:t>为深入贯彻落实习近平总书记来陕考察重要讲话精神，扎实落实国务院关于支持中小企业发展的政策措施，积极不断发挥政府采购政策功能作用，有效缓解中小企业融资难、融资贵问题。，现就加快推进我省政府采购信用融资工作有关事项通知如下。：</w:t>
      </w:r>
    </w:p>
    <w:p>
      <w:pPr>
        <w:widowControl/>
        <w:spacing w:line="500" w:lineRule="exact"/>
        <w:jc w:val="left"/>
        <w:rPr>
          <w:rFonts w:ascii="黑体" w:hAnsi="黑体" w:eastAsia="黑体" w:cs="Helvetica"/>
          <w:b/>
          <w:color w:val="auto"/>
          <w:kern w:val="0"/>
          <w:sz w:val="28"/>
          <w:szCs w:val="28"/>
        </w:rPr>
      </w:pPr>
      <w:r>
        <w:rPr>
          <w:rFonts w:hint="eastAsia" w:ascii="黑体" w:hAnsi="黑体" w:eastAsia="黑体" w:cs="Helvetica"/>
          <w:b/>
          <w:color w:val="auto"/>
          <w:kern w:val="0"/>
          <w:sz w:val="28"/>
          <w:szCs w:val="28"/>
        </w:rPr>
        <w:t>一、进一步提高对政府采购信用融资工作重要性的认识</w:t>
      </w:r>
    </w:p>
    <w:p>
      <w:pPr>
        <w:widowControl/>
        <w:spacing w:line="500" w:lineRule="exact"/>
        <w:ind w:firstLine="560" w:firstLineChars="200"/>
        <w:jc w:val="left"/>
        <w:rPr>
          <w:rFonts w:ascii="仿宋_GB2312" w:hAnsi="微软雅黑" w:eastAsia="仿宋_GB2312" w:cs="Helvetica"/>
          <w:color w:val="auto"/>
          <w:kern w:val="0"/>
          <w:sz w:val="28"/>
          <w:szCs w:val="28"/>
        </w:rPr>
      </w:pPr>
      <w:r>
        <w:rPr>
          <w:rFonts w:hint="eastAsia" w:ascii="仿宋_GB2312" w:hAnsi="微软雅黑" w:eastAsia="仿宋_GB2312" w:cs="Helvetica"/>
          <w:color w:val="auto"/>
          <w:kern w:val="0"/>
          <w:sz w:val="28"/>
          <w:szCs w:val="28"/>
        </w:rPr>
        <w:t>政府采购信用融资是指在政府采购过程中，金融机构以信用审查为基础，依据政府采购中标(成交)合同，按优于一般企业贷款条件向申请融资的中小企业提供资金支持的一种融资模式。政府采购信用融资是解决中小企业发展资金不足的重要举措，对改善营商环境、促进中小企业高质量发展和转型升级具有重要意义。</w:t>
      </w:r>
    </w:p>
    <w:p>
      <w:pPr>
        <w:widowControl/>
        <w:spacing w:line="500" w:lineRule="exact"/>
        <w:ind w:firstLine="560" w:firstLineChars="200"/>
        <w:jc w:val="left"/>
        <w:rPr>
          <w:rFonts w:ascii="仿宋_GB2312" w:hAnsi="微软雅黑" w:eastAsia="仿宋_GB2312" w:cs="Helvetica"/>
          <w:color w:val="auto"/>
          <w:kern w:val="0"/>
          <w:sz w:val="28"/>
          <w:szCs w:val="28"/>
        </w:rPr>
      </w:pPr>
      <w:r>
        <w:rPr>
          <w:rFonts w:hint="eastAsia" w:ascii="仿宋_GB2312" w:hAnsi="微软雅黑" w:eastAsia="仿宋_GB2312" w:cs="Helvetica"/>
          <w:color w:val="auto"/>
          <w:kern w:val="0"/>
          <w:sz w:val="28"/>
          <w:szCs w:val="28"/>
        </w:rPr>
        <w:t>2018年我厅印发了《陕西省中小企业政府采购信用融资办法》（陕财办采〔2018〕23号），2019年依托陕西省政府采购网搭建了“陕西省政府采购信用融资平台”，将政府采购信用融资工作从线下转至线上。目前，融资平台已经上线运行，入驻平台的金融机构可为中小企业提供快捷、便利的融资服务。</w:t>
      </w:r>
    </w:p>
    <w:p>
      <w:pPr>
        <w:widowControl/>
        <w:spacing w:line="500" w:lineRule="exact"/>
        <w:ind w:firstLine="560" w:firstLineChars="200"/>
        <w:jc w:val="left"/>
        <w:rPr>
          <w:rFonts w:ascii="仿宋_GB2312" w:hAnsi="微软雅黑" w:eastAsia="仿宋_GB2312" w:cs="Helvetica"/>
          <w:color w:val="auto"/>
          <w:kern w:val="0"/>
          <w:sz w:val="28"/>
          <w:szCs w:val="28"/>
        </w:rPr>
      </w:pPr>
      <w:r>
        <w:rPr>
          <w:rFonts w:hint="eastAsia" w:ascii="仿宋_GB2312" w:hAnsi="微软雅黑" w:eastAsia="仿宋_GB2312" w:cs="Helvetica"/>
          <w:color w:val="auto"/>
          <w:kern w:val="0"/>
          <w:sz w:val="28"/>
          <w:szCs w:val="28"/>
        </w:rPr>
        <w:t xml:space="preserve">各级各部门要认真贯彻落实支持中小企业发展的各项政策措施，充分认识政府采购信用融资对缓解中小企业融资难、融资贵问题的重要性，。要准确把握政策，发挥自身优势，积极主动作为，加强沟通协调，借助政府采购融资平台创新工作，为中小企业提供更好的服务。 </w:t>
      </w:r>
      <w:r>
        <w:rPr>
          <w:rFonts w:hint="eastAsia" w:ascii="微软雅黑" w:hAnsi="微软雅黑" w:eastAsia="仿宋_GB2312" w:cs="Helvetica"/>
          <w:color w:val="auto"/>
          <w:kern w:val="0"/>
          <w:sz w:val="28"/>
          <w:szCs w:val="28"/>
        </w:rPr>
        <w:t> </w:t>
      </w:r>
    </w:p>
    <w:p>
      <w:pPr>
        <w:widowControl/>
        <w:spacing w:line="500" w:lineRule="exact"/>
        <w:jc w:val="left"/>
        <w:rPr>
          <w:rFonts w:ascii="黑体" w:hAnsi="黑体" w:eastAsia="黑体" w:cs="Helvetica"/>
          <w:b/>
          <w:color w:val="auto"/>
          <w:kern w:val="0"/>
          <w:sz w:val="28"/>
          <w:szCs w:val="28"/>
        </w:rPr>
      </w:pPr>
      <w:r>
        <w:rPr>
          <w:rFonts w:hint="eastAsia" w:ascii="黑体" w:hAnsi="黑体" w:eastAsia="黑体" w:cs="Helvetica"/>
          <w:b/>
          <w:color w:val="auto"/>
          <w:kern w:val="0"/>
          <w:sz w:val="28"/>
          <w:szCs w:val="28"/>
        </w:rPr>
        <w:t>二、落实工作职责，扎实推进政府采购信用融资落地见效</w:t>
      </w:r>
    </w:p>
    <w:p>
      <w:pPr>
        <w:widowControl/>
        <w:spacing w:line="500" w:lineRule="exact"/>
        <w:ind w:firstLine="560" w:firstLineChars="200"/>
        <w:jc w:val="left"/>
        <w:rPr>
          <w:rFonts w:ascii="仿宋_GB2312" w:hAnsi="微软雅黑" w:eastAsia="仿宋_GB2312" w:cs="Helvetica"/>
          <w:color w:val="auto"/>
          <w:kern w:val="0"/>
          <w:sz w:val="28"/>
          <w:szCs w:val="28"/>
        </w:rPr>
      </w:pPr>
      <w:r>
        <w:rPr>
          <w:rFonts w:hint="eastAsia" w:ascii="仿宋_GB2312" w:hAnsi="微软雅黑" w:eastAsia="仿宋_GB2312" w:cs="Helvetica"/>
          <w:color w:val="auto"/>
          <w:kern w:val="0"/>
          <w:sz w:val="28"/>
          <w:szCs w:val="28"/>
        </w:rPr>
        <w:t>各市（区）财政部门要扎实做好政府采购信用融资的引导和协调工作，积极协助金融机构、采购人、政府采购代理机构和供应商密切合作、相互支持，形成工作合力。要结合本地实际制定工作计划、明确工作任务，加快推动政府采购信用融资工作顺利开展。同时，要加强对政府采购信用融资项目的跟踪监督，积极协调解决实际操作过程中存在的问题。</w:t>
      </w:r>
    </w:p>
    <w:p>
      <w:pPr>
        <w:widowControl/>
        <w:spacing w:line="500" w:lineRule="exact"/>
        <w:ind w:firstLine="560" w:firstLineChars="200"/>
        <w:jc w:val="left"/>
        <w:rPr>
          <w:rFonts w:ascii="仿宋_GB2312" w:hAnsi="微软雅黑" w:eastAsia="仿宋_GB2312" w:cs="Helvetica"/>
          <w:color w:val="auto"/>
          <w:kern w:val="0"/>
          <w:sz w:val="28"/>
          <w:szCs w:val="28"/>
        </w:rPr>
      </w:pPr>
      <w:r>
        <w:rPr>
          <w:rFonts w:hint="eastAsia" w:ascii="仿宋_GB2312" w:hAnsi="微软雅黑" w:eastAsia="仿宋_GB2312" w:cs="Helvetica"/>
          <w:color w:val="auto"/>
          <w:kern w:val="0"/>
          <w:sz w:val="28"/>
          <w:szCs w:val="28"/>
        </w:rPr>
        <w:t>各采购人要大力支持政府采购信用融资工作，对于供应商和金融机构提出的账户开设或变更、合同变更确认、项目资料完善等合理需求，应当主动提供帮助。对于已融资政府采购项目，要密切关注项目进展情况，确保项目顺利实施。供应商履约完成后，采购人要及时开展履约验收工作，严格按照合同约定及时支付采购资金，保障贷款资金的安全回收。</w:t>
      </w:r>
    </w:p>
    <w:p>
      <w:pPr>
        <w:widowControl/>
        <w:spacing w:line="500" w:lineRule="exact"/>
        <w:ind w:firstLine="560" w:firstLineChars="200"/>
        <w:jc w:val="left"/>
        <w:rPr>
          <w:rFonts w:ascii="仿宋_GB2312" w:hAnsi="微软雅黑" w:eastAsia="仿宋_GB2312" w:cs="Helvetica"/>
          <w:color w:val="auto"/>
          <w:kern w:val="0"/>
          <w:sz w:val="28"/>
          <w:szCs w:val="28"/>
        </w:rPr>
      </w:pPr>
      <w:r>
        <w:rPr>
          <w:rFonts w:hint="eastAsia" w:ascii="仿宋_GB2312" w:hAnsi="微软雅黑" w:eastAsia="仿宋_GB2312" w:cs="Helvetica"/>
          <w:color w:val="auto"/>
          <w:kern w:val="0"/>
          <w:sz w:val="28"/>
          <w:szCs w:val="28"/>
        </w:rPr>
        <w:t>各政府采购代理机构要加强沟通协调、主动服务，对有融资需求的政府采购供应商，帮助对接金融机构，及时提供政府采购中标（成交）、合同、融资等信息，实现企业和金融机构融资信息互联互通。</w:t>
      </w:r>
    </w:p>
    <w:p>
      <w:pPr>
        <w:widowControl/>
        <w:spacing w:line="500" w:lineRule="exact"/>
        <w:ind w:firstLine="560" w:firstLineChars="200"/>
        <w:jc w:val="left"/>
        <w:rPr>
          <w:rFonts w:ascii="仿宋_GB2312" w:hAnsi="微软雅黑" w:eastAsia="仿宋_GB2312" w:cs="Helvetica"/>
          <w:color w:val="auto"/>
          <w:kern w:val="0"/>
          <w:sz w:val="28"/>
          <w:szCs w:val="28"/>
        </w:rPr>
      </w:pPr>
      <w:r>
        <w:rPr>
          <w:rFonts w:hint="eastAsia" w:ascii="仿宋_GB2312" w:hAnsi="微软雅黑" w:eastAsia="仿宋_GB2312" w:cs="Helvetica"/>
          <w:color w:val="auto"/>
          <w:kern w:val="0"/>
          <w:sz w:val="28"/>
          <w:szCs w:val="28"/>
        </w:rPr>
        <w:t>政府采购供应商要根据自身资金需求自愿对接金融机构，依法参加政府采购信用融资活动。严格按照政府采购合同履约，严格按照签约责任和借款合同偿还借贷债务。供应商通过弄虚作假骗取融资或无故不按时还款的，金融机构可以解除融资协议并追究其违约责任。财政部门视情节轻重，依据相关法律法规作出处理处罚；涉嫌犯罪的，移送司法机关处理。为避免一合同多贷引发金融贷款风险，供应商在政府采购融资平台上每次只能向一家金融机构提交贷款申请，金融机构拒贷后方可向其他金融机构提交申请。</w:t>
      </w:r>
    </w:p>
    <w:p>
      <w:pPr>
        <w:widowControl/>
        <w:spacing w:line="500" w:lineRule="exact"/>
        <w:ind w:firstLine="560" w:firstLineChars="200"/>
        <w:jc w:val="left"/>
        <w:rPr>
          <w:rFonts w:ascii="仿宋_GB2312" w:hAnsi="微软雅黑" w:eastAsia="仿宋_GB2312" w:cs="Helvetica"/>
          <w:color w:val="auto"/>
          <w:kern w:val="0"/>
          <w:sz w:val="28"/>
          <w:szCs w:val="28"/>
        </w:rPr>
      </w:pPr>
      <w:r>
        <w:rPr>
          <w:rFonts w:hint="eastAsia" w:ascii="仿宋_GB2312" w:hAnsi="微软雅黑" w:eastAsia="仿宋_GB2312" w:cs="Helvetica"/>
          <w:color w:val="auto"/>
          <w:kern w:val="0"/>
          <w:sz w:val="28"/>
          <w:szCs w:val="28"/>
        </w:rPr>
        <w:t>金融机构要简化贷款流程，加快审批进度，为企业提供快速便捷的信用融资服务。对金融机构发布不实信息或虚假宣传，或违背服务承诺开展融资业务的，由省财政厅进行约谈，责令限期改正或取消政府采购信用融资业务资格。</w:t>
      </w:r>
    </w:p>
    <w:p>
      <w:pPr>
        <w:widowControl/>
        <w:spacing w:line="500" w:lineRule="exact"/>
        <w:jc w:val="left"/>
        <w:rPr>
          <w:rFonts w:ascii="仿宋_GB2312" w:hAnsi="微软雅黑" w:eastAsia="仿宋_GB2312" w:cs="Helvetica"/>
          <w:color w:val="auto"/>
          <w:kern w:val="0"/>
          <w:sz w:val="28"/>
          <w:szCs w:val="28"/>
        </w:rPr>
      </w:pPr>
      <w:r>
        <w:rPr>
          <w:rFonts w:hint="eastAsia" w:ascii="仿宋_GB2312" w:hAnsi="微软雅黑" w:eastAsia="仿宋_GB2312" w:cs="Helvetica"/>
          <w:color w:val="auto"/>
          <w:kern w:val="0"/>
          <w:sz w:val="28"/>
          <w:szCs w:val="28"/>
        </w:rPr>
        <w:t>供应商和金融机构按照双方自愿的原则开展融资业务活动，其他任何单位和个人不得违规干预。</w:t>
      </w:r>
    </w:p>
    <w:p>
      <w:pPr>
        <w:widowControl/>
        <w:spacing w:line="500" w:lineRule="exact"/>
        <w:jc w:val="left"/>
        <w:rPr>
          <w:rFonts w:ascii="黑体" w:hAnsi="黑体" w:eastAsia="黑体" w:cs="Helvetica"/>
          <w:b/>
          <w:color w:val="auto"/>
          <w:kern w:val="0"/>
          <w:sz w:val="28"/>
          <w:szCs w:val="28"/>
        </w:rPr>
      </w:pPr>
      <w:r>
        <w:rPr>
          <w:rFonts w:hint="eastAsia" w:ascii="黑体" w:hAnsi="黑体" w:eastAsia="黑体" w:cs="Helvetica"/>
          <w:b/>
          <w:color w:val="auto"/>
          <w:kern w:val="0"/>
          <w:sz w:val="28"/>
          <w:szCs w:val="28"/>
        </w:rPr>
        <w:t>三、规范业务流程，促进政府采购信用融资业务顺利开展</w:t>
      </w:r>
    </w:p>
    <w:p>
      <w:pPr>
        <w:widowControl/>
        <w:spacing w:line="500" w:lineRule="exact"/>
        <w:ind w:firstLine="560" w:firstLineChars="200"/>
        <w:jc w:val="left"/>
        <w:rPr>
          <w:rFonts w:ascii="仿宋_GB2312" w:hAnsi="微软雅黑" w:eastAsia="仿宋_GB2312" w:cs="Helvetica"/>
          <w:color w:val="auto"/>
          <w:kern w:val="0"/>
          <w:sz w:val="28"/>
          <w:szCs w:val="28"/>
        </w:rPr>
      </w:pPr>
      <w:r>
        <w:rPr>
          <w:rFonts w:hint="eastAsia" w:ascii="仿宋_GB2312" w:hAnsi="微软雅黑" w:eastAsia="仿宋_GB2312" w:cs="Helvetica"/>
          <w:color w:val="auto"/>
          <w:kern w:val="0"/>
          <w:sz w:val="28"/>
          <w:szCs w:val="28"/>
        </w:rPr>
        <w:t>有融资需求的供应商可根据自身情况，在陕西省政府采购信用融资平台（含各市分平台）自主选择金融机构及其融资产品，凭政府采购中标（成交）通知书或政府采购合同向金融机构提出融资申请。</w:t>
      </w:r>
    </w:p>
    <w:p>
      <w:pPr>
        <w:widowControl/>
        <w:spacing w:line="500" w:lineRule="exact"/>
        <w:ind w:firstLine="560" w:firstLineChars="200"/>
        <w:jc w:val="left"/>
        <w:rPr>
          <w:rFonts w:ascii="仿宋_GB2312" w:hAnsi="微软雅黑" w:eastAsia="仿宋_GB2312" w:cs="Helvetica"/>
          <w:color w:val="auto"/>
          <w:kern w:val="0"/>
          <w:sz w:val="28"/>
          <w:szCs w:val="28"/>
        </w:rPr>
      </w:pPr>
      <w:r>
        <w:rPr>
          <w:rFonts w:hint="eastAsia" w:ascii="仿宋_GB2312" w:hAnsi="微软雅黑" w:eastAsia="仿宋_GB2312" w:cs="Helvetica"/>
          <w:color w:val="auto"/>
          <w:kern w:val="0"/>
          <w:sz w:val="28"/>
          <w:szCs w:val="28"/>
        </w:rPr>
        <w:t>金融机构对供应商进行融资信息审查，决定是否提供融资。双方达成融资意向后签订融资协议，确定融资成交信息并约定政府采购项目合同回款账户。金融机构及时向财政部门反馈融资成交信息。</w:t>
      </w:r>
    </w:p>
    <w:p>
      <w:pPr>
        <w:widowControl/>
        <w:spacing w:line="500" w:lineRule="exact"/>
        <w:ind w:firstLine="560" w:firstLineChars="200"/>
        <w:jc w:val="left"/>
        <w:rPr>
          <w:rFonts w:ascii="仿宋_GB2312" w:hAnsi="微软雅黑" w:eastAsia="仿宋_GB2312" w:cs="Helvetica"/>
          <w:color w:val="auto"/>
          <w:kern w:val="0"/>
          <w:sz w:val="28"/>
          <w:szCs w:val="28"/>
        </w:rPr>
      </w:pPr>
      <w:r>
        <w:rPr>
          <w:rFonts w:hint="eastAsia" w:ascii="仿宋_GB2312" w:hAnsi="微软雅黑" w:eastAsia="仿宋_GB2312" w:cs="Helvetica"/>
          <w:color w:val="auto"/>
          <w:kern w:val="0"/>
          <w:sz w:val="28"/>
          <w:szCs w:val="28"/>
        </w:rPr>
        <w:t>政府采购合同签订前确定融资的，供应商将约定的政府采购项目回款账户在合同中予以明确。政府采购合同签订后确定融资的，如需修改回款账户信息，供应商向采购人提出变更合同账户申请，经采购人确认后办理合同变更手续。已经发生融资业务的政府采购合同，原则上不得变更，确需变更的，供应商须向金融机构提交书面申请，经金融机构同意后方可提交采购人请求进行变更。财政部门根据金融机构反馈的融资成交信息，对对应的政府采购合同进行标记。</w:t>
      </w:r>
    </w:p>
    <w:p>
      <w:pPr>
        <w:widowControl/>
        <w:spacing w:line="500" w:lineRule="exact"/>
        <w:jc w:val="left"/>
        <w:rPr>
          <w:rFonts w:ascii="仿宋_GB2312" w:hAnsi="微软雅黑" w:eastAsia="仿宋_GB2312" w:cs="Helvetica"/>
          <w:color w:val="auto"/>
          <w:kern w:val="0"/>
          <w:sz w:val="28"/>
          <w:szCs w:val="28"/>
        </w:rPr>
      </w:pPr>
      <w:r>
        <w:rPr>
          <w:rFonts w:hint="eastAsia" w:ascii="仿宋_GB2312" w:hAnsi="微软雅黑" w:eastAsia="仿宋_GB2312" w:cs="Helvetica"/>
          <w:color w:val="auto"/>
          <w:kern w:val="0"/>
          <w:sz w:val="28"/>
          <w:szCs w:val="28"/>
        </w:rPr>
        <w:t>金融机构对供应商融资申请审核通过后，要及时发放贷款。采购人必须将采购资金支付到政府采购融资合同约定的融资回款账户，供应商要根据融资协议的约定按时归还贷款。</w:t>
      </w:r>
    </w:p>
    <w:p>
      <w:pPr>
        <w:widowControl/>
        <w:spacing w:line="500" w:lineRule="exact"/>
        <w:jc w:val="left"/>
        <w:rPr>
          <w:rFonts w:ascii="黑体" w:hAnsi="黑体" w:eastAsia="黑体" w:cs="Helvetica"/>
          <w:b/>
          <w:color w:val="auto"/>
          <w:kern w:val="0"/>
          <w:sz w:val="28"/>
          <w:szCs w:val="28"/>
        </w:rPr>
      </w:pPr>
      <w:r>
        <w:rPr>
          <w:rFonts w:hint="eastAsia" w:ascii="黑体" w:hAnsi="黑体" w:eastAsia="黑体" w:cs="Helvetica"/>
          <w:b/>
          <w:color w:val="auto"/>
          <w:kern w:val="0"/>
          <w:sz w:val="28"/>
          <w:szCs w:val="28"/>
        </w:rPr>
        <w:t>四、加强政策宣传，充分发挥桥梁纽带作用</w:t>
      </w:r>
    </w:p>
    <w:p>
      <w:pPr>
        <w:widowControl/>
        <w:spacing w:line="500" w:lineRule="exact"/>
        <w:ind w:firstLine="560" w:firstLineChars="200"/>
        <w:jc w:val="left"/>
        <w:rPr>
          <w:rFonts w:ascii="仿宋_GB2312" w:hAnsi="微软雅黑" w:eastAsia="仿宋_GB2312" w:cs="Helvetica"/>
          <w:color w:val="auto"/>
          <w:kern w:val="0"/>
          <w:sz w:val="28"/>
          <w:szCs w:val="28"/>
        </w:rPr>
      </w:pPr>
      <w:r>
        <w:rPr>
          <w:rFonts w:hint="eastAsia" w:ascii="仿宋_GB2312" w:hAnsi="微软雅黑" w:eastAsia="仿宋_GB2312" w:cs="Helvetica"/>
          <w:color w:val="auto"/>
          <w:kern w:val="0"/>
          <w:sz w:val="28"/>
          <w:szCs w:val="28"/>
        </w:rPr>
        <w:t>各级财政部门、采购人和政府采购代理机构要充分发挥桥梁纽带作用，创新宣传手段，加强政策宣传，做到信息共享，要主动向参与政府采购活动的供应商宣传政府采购信用贷款政策，要积极与金融机构对接，为金融机构开展业务宣传提供便利。</w:t>
      </w:r>
    </w:p>
    <w:p>
      <w:pPr>
        <w:widowControl/>
        <w:spacing w:line="500" w:lineRule="exact"/>
        <w:ind w:firstLine="560" w:firstLineChars="200"/>
        <w:jc w:val="left"/>
        <w:rPr>
          <w:rFonts w:ascii="仿宋_GB2312" w:hAnsi="微软雅黑" w:eastAsia="仿宋_GB2312" w:cs="Helvetica"/>
          <w:color w:val="auto"/>
          <w:kern w:val="0"/>
          <w:sz w:val="28"/>
          <w:szCs w:val="28"/>
        </w:rPr>
      </w:pPr>
      <w:r>
        <w:rPr>
          <w:rFonts w:hint="eastAsia" w:ascii="仿宋_GB2312" w:hAnsi="微软雅黑" w:eastAsia="仿宋_GB2312" w:cs="Helvetica"/>
          <w:color w:val="auto"/>
          <w:kern w:val="0"/>
          <w:sz w:val="28"/>
          <w:szCs w:val="28"/>
        </w:rPr>
        <w:t>各市（区）财政部门要高度重视政府采购信用融资工作，加快推进全省政府采购信用融资平台市（区）级分平台的建设，暂未建设分平台的可借助省级平台或在线下积极推进工作开展，并及时定期向省财政厅报送工作开展情况。</w:t>
      </w:r>
    </w:p>
    <w:p>
      <w:pPr>
        <w:widowControl/>
        <w:spacing w:line="500" w:lineRule="exact"/>
        <w:jc w:val="left"/>
        <w:rPr>
          <w:rFonts w:ascii="仿宋_GB2312" w:hAnsi="微软雅黑" w:eastAsia="仿宋_GB2312" w:cs="Helvetica"/>
          <w:color w:val="auto"/>
          <w:kern w:val="0"/>
          <w:sz w:val="28"/>
          <w:szCs w:val="28"/>
        </w:rPr>
      </w:pPr>
      <w:r>
        <w:rPr>
          <w:rFonts w:hint="eastAsia" w:ascii="微软雅黑" w:hAnsi="微软雅黑" w:eastAsia="仿宋_GB2312" w:cs="Helvetica"/>
          <w:color w:val="auto"/>
          <w:kern w:val="0"/>
          <w:sz w:val="28"/>
          <w:szCs w:val="28"/>
        </w:rPr>
        <w:t> </w:t>
      </w:r>
    </w:p>
    <w:p>
      <w:pPr>
        <w:widowControl/>
        <w:spacing w:line="500" w:lineRule="exact"/>
        <w:ind w:right="420"/>
        <w:jc w:val="right"/>
        <w:rPr>
          <w:rFonts w:ascii="仿宋_GB2312" w:hAnsi="微软雅黑" w:eastAsia="仿宋_GB2312" w:cs="Helvetica"/>
          <w:color w:val="auto"/>
          <w:kern w:val="0"/>
          <w:sz w:val="28"/>
          <w:szCs w:val="28"/>
        </w:rPr>
      </w:pPr>
      <w:r>
        <w:rPr>
          <w:rFonts w:hint="eastAsia" w:ascii="仿宋_GB2312" w:hAnsi="微软雅黑" w:eastAsia="仿宋_GB2312" w:cs="Helvetica"/>
          <w:color w:val="auto"/>
          <w:kern w:val="0"/>
          <w:sz w:val="28"/>
          <w:szCs w:val="28"/>
        </w:rPr>
        <w:t>陕西省财政厅</w:t>
      </w:r>
    </w:p>
    <w:p>
      <w:pPr>
        <w:widowControl/>
        <w:spacing w:line="500" w:lineRule="exact"/>
        <w:jc w:val="right"/>
        <w:rPr>
          <w:rFonts w:ascii="仿宋_GB2312" w:hAnsi="微软雅黑" w:eastAsia="仿宋_GB2312" w:cs="Helvetica"/>
          <w:color w:val="auto"/>
          <w:kern w:val="0"/>
          <w:sz w:val="28"/>
          <w:szCs w:val="28"/>
        </w:rPr>
      </w:pPr>
      <w:r>
        <w:rPr>
          <w:rFonts w:hint="eastAsia" w:ascii="仿宋_GB2312" w:hAnsi="微软雅黑" w:eastAsia="仿宋_GB2312" w:cs="Helvetica"/>
          <w:color w:val="auto"/>
          <w:kern w:val="0"/>
          <w:sz w:val="28"/>
          <w:szCs w:val="28"/>
        </w:rPr>
        <w:t>2020年9月11日</w:t>
      </w:r>
    </w:p>
    <w:p>
      <w:pPr>
        <w:spacing w:line="460" w:lineRule="exact"/>
        <w:ind w:right="1050" w:rightChars="500"/>
        <w:rPr>
          <w:rFonts w:ascii="仿宋_GB2312" w:hAnsi="仿宋_GB2312" w:eastAsia="仿宋_GB2312" w:cs="仿宋_GB2312"/>
          <w:color w:val="auto"/>
          <w:sz w:val="28"/>
          <w:szCs w:val="28"/>
          <w:u w:val="single"/>
        </w:rPr>
      </w:pPr>
    </w:p>
    <w:p>
      <w:pPr>
        <w:spacing w:line="460" w:lineRule="exact"/>
        <w:ind w:right="1050" w:rightChars="500"/>
        <w:rPr>
          <w:rFonts w:ascii="仿宋_GB2312" w:hAnsi="仿宋_GB2312" w:eastAsia="仿宋_GB2312" w:cs="仿宋_GB2312"/>
          <w:color w:val="auto"/>
          <w:sz w:val="28"/>
          <w:szCs w:val="28"/>
          <w:u w:val="single"/>
        </w:rPr>
      </w:pPr>
    </w:p>
    <w:p>
      <w:pPr>
        <w:spacing w:line="460" w:lineRule="exact"/>
        <w:ind w:right="1050" w:rightChars="500"/>
        <w:rPr>
          <w:rFonts w:ascii="仿宋_GB2312" w:hAnsi="仿宋_GB2312" w:eastAsia="仿宋_GB2312" w:cs="仿宋_GB2312"/>
          <w:color w:val="auto"/>
          <w:sz w:val="28"/>
          <w:szCs w:val="28"/>
          <w:u w:val="single"/>
        </w:rPr>
      </w:pPr>
    </w:p>
    <w:p>
      <w:pPr>
        <w:spacing w:line="460" w:lineRule="exact"/>
        <w:ind w:right="1050" w:rightChars="500"/>
        <w:rPr>
          <w:rFonts w:ascii="仿宋_GB2312" w:hAnsi="仿宋_GB2312" w:eastAsia="仿宋_GB2312" w:cs="仿宋_GB2312"/>
          <w:color w:val="auto"/>
          <w:sz w:val="28"/>
          <w:szCs w:val="28"/>
          <w:u w:val="single"/>
        </w:rPr>
      </w:pPr>
    </w:p>
    <w:p>
      <w:pPr>
        <w:spacing w:line="460" w:lineRule="exact"/>
        <w:ind w:right="1050" w:rightChars="500"/>
        <w:rPr>
          <w:rFonts w:ascii="仿宋_GB2312" w:hAnsi="仿宋_GB2312" w:eastAsia="仿宋_GB2312" w:cs="仿宋_GB2312"/>
          <w:color w:val="auto"/>
          <w:sz w:val="28"/>
          <w:szCs w:val="28"/>
          <w:u w:val="single"/>
        </w:rPr>
      </w:pPr>
    </w:p>
    <w:p>
      <w:pPr>
        <w:pStyle w:val="4"/>
        <w:spacing w:afterLines="50" w:line="360" w:lineRule="auto"/>
        <w:rPr>
          <w:rFonts w:ascii="仿宋_GB2312" w:eastAsia="仿宋_GB2312"/>
          <w:bCs w:val="0"/>
          <w:color w:val="auto"/>
          <w:sz w:val="30"/>
          <w:szCs w:val="30"/>
        </w:rPr>
      </w:pPr>
      <w:bookmarkStart w:id="163" w:name="_Toc73278724"/>
      <w:bookmarkStart w:id="164" w:name="_Toc73261678"/>
      <w:r>
        <w:rPr>
          <w:rFonts w:hint="eastAsia" w:ascii="仿宋_GB2312" w:eastAsia="仿宋_GB2312"/>
          <w:bCs w:val="0"/>
          <w:color w:val="auto"/>
          <w:sz w:val="30"/>
          <w:szCs w:val="30"/>
        </w:rPr>
        <w:t>附件三、政府采购供应商质疑函范本</w:t>
      </w:r>
      <w:bookmarkEnd w:id="163"/>
      <w:bookmarkEnd w:id="164"/>
    </w:p>
    <w:p>
      <w:pPr>
        <w:jc w:val="center"/>
        <w:rPr>
          <w:rFonts w:ascii="仿宋" w:hAnsi="仿宋" w:eastAsia="仿宋" w:cs="仿宋"/>
          <w:b/>
          <w:bCs/>
          <w:color w:val="auto"/>
          <w:sz w:val="44"/>
          <w:szCs w:val="44"/>
        </w:rPr>
      </w:pPr>
      <w:r>
        <w:rPr>
          <w:rFonts w:hint="eastAsia" w:ascii="仿宋" w:hAnsi="仿宋" w:eastAsia="仿宋" w:cs="仿宋"/>
          <w:b/>
          <w:bCs/>
          <w:color w:val="auto"/>
          <w:sz w:val="44"/>
          <w:szCs w:val="44"/>
        </w:rPr>
        <w:t>质疑函</w:t>
      </w:r>
    </w:p>
    <w:p>
      <w:pPr>
        <w:adjustRightInd w:val="0"/>
        <w:snapToGrid w:val="0"/>
        <w:spacing w:beforeLines="100" w:line="440" w:lineRule="exact"/>
        <w:rPr>
          <w:rFonts w:ascii="黑体" w:hAnsi="黑体" w:eastAsia="黑体" w:cs="仿宋"/>
          <w:bCs/>
          <w:color w:val="auto"/>
          <w:sz w:val="28"/>
          <w:szCs w:val="28"/>
        </w:rPr>
      </w:pPr>
      <w:r>
        <w:rPr>
          <w:rFonts w:hint="eastAsia" w:ascii="黑体" w:hAnsi="黑体" w:eastAsia="黑体" w:cs="仿宋"/>
          <w:bCs/>
          <w:color w:val="auto"/>
          <w:sz w:val="28"/>
          <w:szCs w:val="28"/>
        </w:rPr>
        <w:t>一、质疑供应商基本信息</w:t>
      </w:r>
    </w:p>
    <w:p>
      <w:pPr>
        <w:adjustRightInd w:val="0"/>
        <w:snapToGrid w:val="0"/>
        <w:spacing w:line="440" w:lineRule="exact"/>
        <w:rPr>
          <w:rFonts w:ascii="仿宋" w:hAnsi="仿宋" w:eastAsia="仿宋" w:cs="仿宋"/>
          <w:color w:val="auto"/>
          <w:sz w:val="28"/>
          <w:szCs w:val="28"/>
          <w:u w:val="dotted"/>
        </w:rPr>
      </w:pPr>
      <w:r>
        <w:rPr>
          <w:rFonts w:hint="eastAsia" w:ascii="仿宋" w:hAnsi="仿宋" w:eastAsia="仿宋" w:cs="仿宋"/>
          <w:color w:val="auto"/>
          <w:sz w:val="28"/>
          <w:szCs w:val="28"/>
        </w:rPr>
        <w:t>质疑供应商：</w:t>
      </w:r>
      <w:r>
        <w:rPr>
          <w:rFonts w:hint="eastAsia" w:ascii="仿宋" w:hAnsi="仿宋" w:eastAsia="仿宋" w:cs="仿宋"/>
          <w:color w:val="auto"/>
          <w:sz w:val="28"/>
          <w:szCs w:val="28"/>
          <w:u w:val="dotted"/>
        </w:rPr>
        <w:t xml:space="preserve">                                        </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地址：</w:t>
      </w:r>
      <w:r>
        <w:rPr>
          <w:rFonts w:hint="eastAsia" w:ascii="仿宋" w:hAnsi="仿宋" w:eastAsia="仿宋" w:cs="仿宋"/>
          <w:color w:val="auto"/>
          <w:sz w:val="28"/>
          <w:szCs w:val="28"/>
          <w:u w:val="dotted"/>
        </w:rPr>
        <w:t xml:space="preserve">                          </w:t>
      </w:r>
      <w:r>
        <w:rPr>
          <w:rFonts w:hint="eastAsia" w:ascii="仿宋" w:hAnsi="仿宋" w:eastAsia="仿宋" w:cs="仿宋"/>
          <w:color w:val="auto"/>
          <w:sz w:val="28"/>
          <w:szCs w:val="28"/>
        </w:rPr>
        <w:t>邮编：</w:t>
      </w:r>
      <w:r>
        <w:rPr>
          <w:rFonts w:hint="eastAsia" w:ascii="仿宋" w:hAnsi="仿宋" w:eastAsia="仿宋" w:cs="仿宋"/>
          <w:color w:val="auto"/>
          <w:sz w:val="28"/>
          <w:szCs w:val="28"/>
          <w:u w:val="dotted"/>
        </w:rPr>
        <w:t xml:space="preserve">                                                   </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联系人：</w:t>
      </w:r>
      <w:r>
        <w:rPr>
          <w:rFonts w:hint="eastAsia" w:ascii="仿宋" w:hAnsi="仿宋" w:eastAsia="仿宋" w:cs="仿宋"/>
          <w:color w:val="auto"/>
          <w:sz w:val="28"/>
          <w:szCs w:val="28"/>
          <w:u w:val="dotted"/>
        </w:rPr>
        <w:t xml:space="preserve">                      </w:t>
      </w:r>
      <w:r>
        <w:rPr>
          <w:rFonts w:hint="eastAsia" w:ascii="仿宋" w:hAnsi="仿宋" w:eastAsia="仿宋" w:cs="仿宋"/>
          <w:color w:val="auto"/>
          <w:sz w:val="28"/>
          <w:szCs w:val="28"/>
        </w:rPr>
        <w:t>联系电话：</w:t>
      </w:r>
      <w:r>
        <w:rPr>
          <w:rFonts w:hint="eastAsia" w:ascii="仿宋" w:hAnsi="仿宋" w:eastAsia="仿宋" w:cs="仿宋"/>
          <w:color w:val="auto"/>
          <w:sz w:val="28"/>
          <w:szCs w:val="28"/>
          <w:u w:val="dotted"/>
        </w:rPr>
        <w:t xml:space="preserve">                              </w:t>
      </w:r>
    </w:p>
    <w:p>
      <w:pPr>
        <w:adjustRightInd w:val="0"/>
        <w:snapToGrid w:val="0"/>
        <w:spacing w:line="440" w:lineRule="exact"/>
        <w:rPr>
          <w:rFonts w:ascii="仿宋" w:hAnsi="仿宋" w:eastAsia="仿宋" w:cs="仿宋"/>
          <w:color w:val="auto"/>
          <w:sz w:val="28"/>
          <w:szCs w:val="28"/>
          <w:u w:val="dotted"/>
        </w:rPr>
      </w:pPr>
      <w:r>
        <w:rPr>
          <w:rFonts w:hint="eastAsia" w:ascii="仿宋" w:hAnsi="仿宋" w:eastAsia="仿宋" w:cs="仿宋"/>
          <w:color w:val="auto"/>
          <w:sz w:val="28"/>
          <w:szCs w:val="28"/>
        </w:rPr>
        <w:t>授权代表：</w:t>
      </w:r>
      <w:r>
        <w:rPr>
          <w:rFonts w:hint="eastAsia" w:ascii="仿宋" w:hAnsi="仿宋" w:eastAsia="仿宋" w:cs="仿宋"/>
          <w:color w:val="auto"/>
          <w:sz w:val="28"/>
          <w:szCs w:val="28"/>
          <w:u w:val="dotted"/>
        </w:rPr>
        <w:t xml:space="preserve">                                          </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联系电话：</w:t>
      </w:r>
      <w:r>
        <w:rPr>
          <w:rFonts w:hint="eastAsia" w:ascii="仿宋" w:hAnsi="仿宋" w:eastAsia="仿宋" w:cs="仿宋"/>
          <w:color w:val="auto"/>
          <w:sz w:val="28"/>
          <w:szCs w:val="28"/>
          <w:u w:val="dotted"/>
        </w:rPr>
        <w:t xml:space="preserve">                                           </w:t>
      </w:r>
      <w:r>
        <w:rPr>
          <w:rFonts w:ascii="仿宋" w:hAnsi="仿宋" w:eastAsia="仿宋" w:cs="仿宋"/>
          <w:color w:val="auto"/>
          <w:sz w:val="28"/>
          <w:szCs w:val="28"/>
        </w:rPr>
        <w:t xml:space="preserve"> </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地址：</w:t>
      </w:r>
      <w:r>
        <w:rPr>
          <w:rFonts w:ascii="仿宋" w:hAnsi="仿宋" w:eastAsia="仿宋" w:cs="仿宋"/>
          <w:color w:val="auto"/>
          <w:sz w:val="28"/>
          <w:szCs w:val="28"/>
        </w:rPr>
        <w:t xml:space="preserve"> </w:t>
      </w:r>
      <w:r>
        <w:rPr>
          <w:rFonts w:hint="eastAsia" w:ascii="仿宋" w:hAnsi="仿宋" w:eastAsia="仿宋" w:cs="仿宋"/>
          <w:color w:val="auto"/>
          <w:sz w:val="28"/>
          <w:szCs w:val="28"/>
          <w:u w:val="dotted"/>
        </w:rPr>
        <w:t xml:space="preserve">                        </w:t>
      </w:r>
      <w:r>
        <w:rPr>
          <w:rFonts w:hint="eastAsia" w:ascii="仿宋" w:hAnsi="仿宋" w:eastAsia="仿宋" w:cs="仿宋"/>
          <w:color w:val="auto"/>
          <w:sz w:val="28"/>
          <w:szCs w:val="28"/>
        </w:rPr>
        <w:t>邮编：</w:t>
      </w:r>
      <w:r>
        <w:rPr>
          <w:rFonts w:hint="eastAsia" w:ascii="仿宋" w:hAnsi="仿宋" w:eastAsia="仿宋" w:cs="仿宋"/>
          <w:color w:val="auto"/>
          <w:sz w:val="28"/>
          <w:szCs w:val="28"/>
          <w:u w:val="dotted"/>
        </w:rPr>
        <w:t xml:space="preserve">                                                </w:t>
      </w:r>
    </w:p>
    <w:p>
      <w:pPr>
        <w:adjustRightInd w:val="0"/>
        <w:snapToGrid w:val="0"/>
        <w:spacing w:line="440" w:lineRule="exact"/>
        <w:rPr>
          <w:rFonts w:ascii="黑体" w:hAnsi="黑体" w:eastAsia="黑体" w:cs="仿宋"/>
          <w:bCs/>
          <w:color w:val="auto"/>
          <w:sz w:val="28"/>
          <w:szCs w:val="28"/>
        </w:rPr>
      </w:pPr>
      <w:r>
        <w:rPr>
          <w:rFonts w:hint="eastAsia" w:ascii="黑体" w:hAnsi="黑体" w:eastAsia="黑体" w:cs="仿宋"/>
          <w:bCs/>
          <w:color w:val="auto"/>
          <w:sz w:val="28"/>
          <w:szCs w:val="28"/>
        </w:rPr>
        <w:t>二、质疑项目基本情况</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质疑项目的名称：</w:t>
      </w:r>
      <w:r>
        <w:rPr>
          <w:rFonts w:hint="eastAsia" w:ascii="仿宋" w:hAnsi="仿宋" w:eastAsia="仿宋" w:cs="仿宋"/>
          <w:color w:val="auto"/>
          <w:sz w:val="28"/>
          <w:szCs w:val="28"/>
          <w:u w:val="dotted"/>
        </w:rPr>
        <w:t xml:space="preserve">                                      </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质疑项目的编号：</w:t>
      </w:r>
      <w:r>
        <w:rPr>
          <w:rFonts w:hint="eastAsia" w:ascii="仿宋" w:hAnsi="仿宋" w:eastAsia="仿宋" w:cs="仿宋"/>
          <w:color w:val="auto"/>
          <w:sz w:val="28"/>
          <w:szCs w:val="28"/>
          <w:u w:val="dotted"/>
        </w:rPr>
        <w:t xml:space="preserve">               </w:t>
      </w:r>
      <w:r>
        <w:rPr>
          <w:rFonts w:hint="eastAsia" w:ascii="仿宋" w:hAnsi="仿宋" w:eastAsia="仿宋" w:cs="仿宋"/>
          <w:color w:val="auto"/>
          <w:sz w:val="28"/>
          <w:szCs w:val="28"/>
        </w:rPr>
        <w:t>包号：</w:t>
      </w:r>
      <w:r>
        <w:rPr>
          <w:rFonts w:hint="eastAsia" w:ascii="仿宋" w:hAnsi="仿宋" w:eastAsia="仿宋" w:cs="仿宋"/>
          <w:color w:val="auto"/>
          <w:sz w:val="28"/>
          <w:szCs w:val="28"/>
          <w:u w:val="dotted"/>
        </w:rPr>
        <w:t xml:space="preserve">                 </w:t>
      </w:r>
    </w:p>
    <w:p>
      <w:pPr>
        <w:adjustRightInd w:val="0"/>
        <w:snapToGrid w:val="0"/>
        <w:spacing w:line="440" w:lineRule="exact"/>
        <w:rPr>
          <w:rFonts w:ascii="仿宋" w:hAnsi="仿宋" w:eastAsia="仿宋" w:cs="仿宋"/>
          <w:color w:val="auto"/>
          <w:sz w:val="28"/>
          <w:szCs w:val="28"/>
          <w:u w:val="dotted"/>
        </w:rPr>
      </w:pPr>
      <w:r>
        <w:rPr>
          <w:rFonts w:hint="eastAsia" w:ascii="仿宋" w:hAnsi="仿宋" w:eastAsia="仿宋" w:cs="仿宋"/>
          <w:color w:val="auto"/>
          <w:sz w:val="28"/>
          <w:szCs w:val="28"/>
        </w:rPr>
        <w:t>采购人名称：</w:t>
      </w:r>
      <w:r>
        <w:rPr>
          <w:rFonts w:hint="eastAsia" w:ascii="仿宋" w:hAnsi="仿宋" w:eastAsia="仿宋" w:cs="仿宋"/>
          <w:color w:val="auto"/>
          <w:sz w:val="28"/>
          <w:szCs w:val="28"/>
          <w:u w:val="dotted"/>
        </w:rPr>
        <w:t xml:space="preserve">                                         </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采购文件获取日期：</w:t>
      </w:r>
      <w:r>
        <w:rPr>
          <w:rFonts w:hint="eastAsia" w:ascii="仿宋" w:hAnsi="仿宋" w:eastAsia="仿宋" w:cs="仿宋"/>
          <w:color w:val="auto"/>
          <w:sz w:val="28"/>
          <w:szCs w:val="28"/>
          <w:u w:val="dotted"/>
        </w:rPr>
        <w:t xml:space="preserve">                                           </w:t>
      </w:r>
    </w:p>
    <w:p>
      <w:pPr>
        <w:adjustRightInd w:val="0"/>
        <w:snapToGrid w:val="0"/>
        <w:spacing w:line="440" w:lineRule="exact"/>
        <w:rPr>
          <w:rFonts w:ascii="黑体" w:hAnsi="黑体" w:eastAsia="黑体" w:cs="仿宋"/>
          <w:bCs/>
          <w:color w:val="auto"/>
          <w:sz w:val="28"/>
          <w:szCs w:val="28"/>
        </w:rPr>
      </w:pPr>
      <w:r>
        <w:rPr>
          <w:rFonts w:hint="eastAsia" w:ascii="黑体" w:hAnsi="黑体" w:eastAsia="黑体" w:cs="仿宋"/>
          <w:bCs/>
          <w:color w:val="auto"/>
          <w:sz w:val="28"/>
          <w:szCs w:val="28"/>
        </w:rPr>
        <w:t>三、质疑事项具体内容</w:t>
      </w:r>
    </w:p>
    <w:p>
      <w:pPr>
        <w:adjustRightInd w:val="0"/>
        <w:snapToGrid w:val="0"/>
        <w:spacing w:line="440" w:lineRule="exact"/>
        <w:rPr>
          <w:rFonts w:ascii="仿宋" w:hAnsi="仿宋" w:eastAsia="仿宋" w:cs="仿宋"/>
          <w:color w:val="auto"/>
          <w:sz w:val="28"/>
          <w:szCs w:val="28"/>
          <w:u w:val="dotted"/>
        </w:rPr>
      </w:pPr>
      <w:r>
        <w:rPr>
          <w:rFonts w:hint="eastAsia" w:ascii="仿宋" w:hAnsi="仿宋" w:eastAsia="仿宋" w:cs="仿宋"/>
          <w:color w:val="auto"/>
          <w:sz w:val="28"/>
          <w:szCs w:val="28"/>
        </w:rPr>
        <w:t>质疑事项1：</w:t>
      </w:r>
      <w:r>
        <w:rPr>
          <w:rFonts w:hint="eastAsia" w:ascii="仿宋" w:hAnsi="仿宋" w:eastAsia="仿宋" w:cs="仿宋"/>
          <w:color w:val="auto"/>
          <w:sz w:val="28"/>
          <w:szCs w:val="28"/>
          <w:u w:val="dotted"/>
        </w:rPr>
        <w:t xml:space="preserve">                                         </w:t>
      </w:r>
    </w:p>
    <w:p>
      <w:pPr>
        <w:adjustRightInd w:val="0"/>
        <w:snapToGrid w:val="0"/>
        <w:spacing w:line="440" w:lineRule="exact"/>
        <w:rPr>
          <w:rFonts w:ascii="仿宋" w:hAnsi="仿宋" w:eastAsia="仿宋" w:cs="仿宋"/>
          <w:color w:val="auto"/>
          <w:sz w:val="28"/>
          <w:szCs w:val="28"/>
          <w:u w:val="dotted"/>
        </w:rPr>
      </w:pPr>
      <w:r>
        <w:rPr>
          <w:rFonts w:hint="eastAsia" w:ascii="仿宋" w:hAnsi="仿宋" w:eastAsia="仿宋" w:cs="仿宋"/>
          <w:color w:val="auto"/>
          <w:sz w:val="28"/>
          <w:szCs w:val="28"/>
        </w:rPr>
        <w:t>事实依据：</w:t>
      </w:r>
      <w:r>
        <w:rPr>
          <w:rFonts w:hint="eastAsia" w:ascii="仿宋" w:hAnsi="仿宋" w:eastAsia="仿宋" w:cs="仿宋"/>
          <w:color w:val="auto"/>
          <w:sz w:val="28"/>
          <w:szCs w:val="28"/>
          <w:u w:val="dotted"/>
        </w:rPr>
        <w:t xml:space="preserve">                                          </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u w:val="dotted"/>
        </w:rPr>
        <w:t xml:space="preserve">                                                       </w:t>
      </w:r>
    </w:p>
    <w:p>
      <w:pPr>
        <w:adjustRightInd w:val="0"/>
        <w:snapToGrid w:val="0"/>
        <w:spacing w:line="440" w:lineRule="exact"/>
        <w:rPr>
          <w:rFonts w:ascii="仿宋" w:hAnsi="仿宋" w:eastAsia="仿宋" w:cs="仿宋"/>
          <w:color w:val="auto"/>
          <w:sz w:val="28"/>
          <w:szCs w:val="28"/>
          <w:u w:val="dotted"/>
        </w:rPr>
      </w:pPr>
      <w:r>
        <w:rPr>
          <w:rFonts w:hint="eastAsia" w:ascii="仿宋" w:hAnsi="仿宋" w:eastAsia="仿宋" w:cs="仿宋"/>
          <w:color w:val="auto"/>
          <w:sz w:val="28"/>
          <w:szCs w:val="28"/>
        </w:rPr>
        <w:t>法律依据：</w:t>
      </w:r>
      <w:r>
        <w:rPr>
          <w:rFonts w:hint="eastAsia" w:ascii="仿宋" w:hAnsi="仿宋" w:eastAsia="仿宋" w:cs="仿宋"/>
          <w:color w:val="auto"/>
          <w:sz w:val="28"/>
          <w:szCs w:val="28"/>
          <w:u w:val="dotted"/>
        </w:rPr>
        <w:t xml:space="preserve">                                          </w:t>
      </w:r>
    </w:p>
    <w:p>
      <w:pPr>
        <w:adjustRightInd w:val="0"/>
        <w:snapToGrid w:val="0"/>
        <w:spacing w:line="440" w:lineRule="exact"/>
        <w:rPr>
          <w:rFonts w:ascii="仿宋" w:hAnsi="仿宋" w:eastAsia="仿宋" w:cs="仿宋"/>
          <w:color w:val="auto"/>
          <w:sz w:val="28"/>
          <w:szCs w:val="28"/>
          <w:u w:val="dotted"/>
        </w:rPr>
      </w:pPr>
      <w:r>
        <w:rPr>
          <w:rFonts w:hint="eastAsia" w:ascii="仿宋" w:hAnsi="仿宋" w:eastAsia="仿宋" w:cs="仿宋"/>
          <w:color w:val="auto"/>
          <w:sz w:val="28"/>
          <w:szCs w:val="28"/>
          <w:u w:val="dotted"/>
        </w:rPr>
        <w:t xml:space="preserve">                                                     </w:t>
      </w:r>
    </w:p>
    <w:p>
      <w:pPr>
        <w:adjustRightInd w:val="0"/>
        <w:snapToGrid w:val="0"/>
        <w:spacing w:line="440" w:lineRule="exact"/>
        <w:rPr>
          <w:rFonts w:ascii="仿宋" w:hAnsi="仿宋" w:eastAsia="仿宋" w:cs="仿宋"/>
          <w:color w:val="auto"/>
          <w:sz w:val="28"/>
          <w:szCs w:val="28"/>
          <w:u w:val="dotted"/>
        </w:rPr>
      </w:pPr>
      <w:r>
        <w:rPr>
          <w:rFonts w:hint="eastAsia" w:ascii="仿宋" w:hAnsi="仿宋" w:eastAsia="仿宋" w:cs="仿宋"/>
          <w:color w:val="auto"/>
          <w:sz w:val="28"/>
          <w:szCs w:val="28"/>
        </w:rPr>
        <w:t>质疑事项2</w:t>
      </w:r>
    </w:p>
    <w:p>
      <w:pPr>
        <w:adjustRightInd w:val="0"/>
        <w:snapToGrid w:val="0"/>
        <w:spacing w:line="440" w:lineRule="exact"/>
        <w:rPr>
          <w:rFonts w:ascii="仿宋" w:hAnsi="仿宋" w:eastAsia="仿宋" w:cs="仿宋"/>
          <w:color w:val="auto"/>
          <w:sz w:val="28"/>
          <w:szCs w:val="28"/>
        </w:rPr>
      </w:pPr>
      <w:r>
        <w:rPr>
          <w:rFonts w:hint="eastAsia" w:ascii="仿宋" w:hAnsi="仿宋" w:eastAsia="仿宋" w:cs="仿宋"/>
          <w:color w:val="auto"/>
          <w:sz w:val="28"/>
          <w:szCs w:val="28"/>
        </w:rPr>
        <w:t>……</w:t>
      </w:r>
    </w:p>
    <w:p>
      <w:pPr>
        <w:adjustRightInd w:val="0"/>
        <w:snapToGrid w:val="0"/>
        <w:spacing w:line="440" w:lineRule="exact"/>
        <w:rPr>
          <w:rFonts w:ascii="黑体" w:hAnsi="黑体" w:eastAsia="黑体" w:cs="仿宋"/>
          <w:bCs/>
          <w:color w:val="auto"/>
          <w:sz w:val="28"/>
          <w:szCs w:val="28"/>
        </w:rPr>
      </w:pPr>
      <w:r>
        <w:rPr>
          <w:rFonts w:hint="eastAsia" w:ascii="黑体" w:hAnsi="黑体" w:eastAsia="黑体" w:cs="仿宋"/>
          <w:bCs/>
          <w:color w:val="auto"/>
          <w:sz w:val="28"/>
          <w:szCs w:val="28"/>
        </w:rPr>
        <w:t>四、与质疑事项相关的质疑请求</w:t>
      </w:r>
    </w:p>
    <w:p>
      <w:pPr>
        <w:adjustRightInd w:val="0"/>
        <w:snapToGrid w:val="0"/>
        <w:spacing w:line="440" w:lineRule="exact"/>
        <w:rPr>
          <w:rFonts w:ascii="仿宋" w:hAnsi="仿宋" w:eastAsia="仿宋" w:cs="仿宋"/>
          <w:color w:val="auto"/>
          <w:sz w:val="28"/>
          <w:szCs w:val="28"/>
          <w:u w:val="dotted"/>
        </w:rPr>
      </w:pPr>
      <w:r>
        <w:rPr>
          <w:rFonts w:hint="eastAsia" w:ascii="仿宋" w:hAnsi="仿宋" w:eastAsia="仿宋" w:cs="仿宋"/>
          <w:color w:val="auto"/>
          <w:sz w:val="28"/>
          <w:szCs w:val="28"/>
        </w:rPr>
        <w:t>请求：</w:t>
      </w:r>
      <w:r>
        <w:rPr>
          <w:rFonts w:hint="eastAsia" w:ascii="仿宋" w:hAnsi="仿宋" w:eastAsia="仿宋" w:cs="仿宋"/>
          <w:color w:val="auto"/>
          <w:sz w:val="28"/>
          <w:szCs w:val="28"/>
          <w:u w:val="dotted"/>
        </w:rPr>
        <w:t xml:space="preserve">                                               </w:t>
      </w:r>
    </w:p>
    <w:p>
      <w:pPr>
        <w:spacing w:line="440" w:lineRule="exact"/>
        <w:rPr>
          <w:rFonts w:ascii="仿宋_GB2312" w:eastAsia="仿宋_GB2312"/>
          <w:color w:val="auto"/>
          <w:sz w:val="28"/>
          <w:szCs w:val="28"/>
        </w:rPr>
      </w:pPr>
      <w:r>
        <w:rPr>
          <w:rFonts w:hint="eastAsia" w:ascii="仿宋_GB2312" w:eastAsia="仿宋_GB2312"/>
          <w:color w:val="auto"/>
          <w:sz w:val="28"/>
          <w:szCs w:val="28"/>
        </w:rPr>
        <w:t xml:space="preserve">签字(签章)：                   公章：                      </w:t>
      </w:r>
    </w:p>
    <w:p>
      <w:pPr>
        <w:spacing w:line="440" w:lineRule="exact"/>
        <w:rPr>
          <w:rFonts w:ascii="仿宋_GB2312" w:eastAsia="仿宋_GB2312"/>
          <w:color w:val="auto"/>
          <w:sz w:val="30"/>
          <w:szCs w:val="30"/>
        </w:rPr>
      </w:pPr>
      <w:r>
        <w:rPr>
          <w:rFonts w:hint="eastAsia" w:ascii="仿宋_GB2312" w:eastAsia="仿宋_GB2312"/>
          <w:color w:val="auto"/>
          <w:sz w:val="28"/>
          <w:szCs w:val="28"/>
        </w:rPr>
        <w:t>日期：</w:t>
      </w:r>
      <w:r>
        <w:rPr>
          <w:rFonts w:hint="eastAsia" w:ascii="仿宋_GB2312" w:eastAsia="仿宋_GB2312"/>
          <w:color w:val="auto"/>
          <w:sz w:val="30"/>
          <w:szCs w:val="30"/>
        </w:rPr>
        <w:t xml:space="preserve">    </w:t>
      </w:r>
    </w:p>
    <w:p>
      <w:pPr>
        <w:adjustRightInd w:val="0"/>
        <w:snapToGrid w:val="0"/>
        <w:spacing w:line="360" w:lineRule="auto"/>
        <w:rPr>
          <w:rFonts w:ascii="仿宋" w:hAnsi="仿宋" w:eastAsia="仿宋" w:cs="仿宋"/>
          <w:color w:val="auto"/>
          <w:sz w:val="32"/>
          <w:szCs w:val="32"/>
        </w:rPr>
      </w:pPr>
    </w:p>
    <w:p>
      <w:pPr>
        <w:adjustRightInd w:val="0"/>
        <w:snapToGrid w:val="0"/>
        <w:spacing w:line="360" w:lineRule="auto"/>
        <w:rPr>
          <w:rFonts w:ascii="仿宋" w:hAnsi="仿宋" w:eastAsia="仿宋" w:cs="仿宋"/>
          <w:color w:val="auto"/>
          <w:sz w:val="32"/>
          <w:szCs w:val="32"/>
        </w:rPr>
      </w:pPr>
    </w:p>
    <w:p>
      <w:pPr>
        <w:pStyle w:val="2"/>
        <w:rPr>
          <w:color w:val="auto"/>
        </w:rPr>
      </w:pPr>
    </w:p>
    <w:p>
      <w:pPr>
        <w:spacing w:afterLines="100"/>
        <w:rPr>
          <w:rFonts w:ascii="黑体" w:hAnsi="黑体" w:eastAsia="黑体"/>
          <w:b/>
          <w:color w:val="auto"/>
          <w:sz w:val="28"/>
          <w:szCs w:val="28"/>
        </w:rPr>
      </w:pPr>
      <w:r>
        <w:rPr>
          <w:rFonts w:hint="eastAsia" w:ascii="黑体" w:hAnsi="黑体" w:eastAsia="黑体"/>
          <w:b/>
          <w:color w:val="auto"/>
          <w:sz w:val="28"/>
          <w:szCs w:val="28"/>
        </w:rPr>
        <w:t>质疑函制作说明：</w:t>
      </w:r>
    </w:p>
    <w:p>
      <w:pPr>
        <w:widowControl/>
        <w:spacing w:line="500" w:lineRule="exact"/>
        <w:ind w:firstLine="560" w:firstLineChars="200"/>
        <w:jc w:val="left"/>
        <w:rPr>
          <w:rFonts w:ascii="仿宋_GB2312" w:eastAsia="仿宋_GB2312"/>
          <w:color w:val="auto"/>
          <w:sz w:val="28"/>
          <w:szCs w:val="28"/>
        </w:rPr>
      </w:pPr>
      <w:r>
        <w:rPr>
          <w:rFonts w:hint="eastAsia" w:ascii="仿宋_GB2312" w:eastAsia="仿宋_GB2312"/>
          <w:color w:val="auto"/>
          <w:sz w:val="28"/>
          <w:szCs w:val="28"/>
        </w:rPr>
        <w:t>1.供应商提出质疑时，应提交质疑函和必要的证明材料。</w:t>
      </w:r>
    </w:p>
    <w:p>
      <w:pPr>
        <w:widowControl/>
        <w:spacing w:line="500" w:lineRule="exact"/>
        <w:ind w:firstLine="560" w:firstLineChars="200"/>
        <w:jc w:val="left"/>
        <w:rPr>
          <w:rFonts w:ascii="仿宋_GB2312" w:eastAsia="仿宋_GB2312"/>
          <w:color w:val="auto"/>
          <w:sz w:val="28"/>
          <w:szCs w:val="28"/>
        </w:rPr>
      </w:pPr>
      <w:r>
        <w:rPr>
          <w:rFonts w:hint="eastAsia" w:ascii="仿宋_GB2312" w:eastAsia="仿宋_GB2312"/>
          <w:color w:val="auto"/>
          <w:sz w:val="28"/>
          <w:szCs w:val="28"/>
        </w:rPr>
        <w:t>2.质疑供应商若委托代理人进行质疑的，质疑函应按要求列明“授权代表”的有关内容，并在附件中提交由质疑</w:t>
      </w:r>
      <w:r>
        <w:rPr>
          <w:rFonts w:hint="eastAsia" w:ascii="仿宋_GB2312" w:hAnsi="宋体" w:eastAsia="仿宋_GB2312" w:cs="宋体"/>
          <w:color w:val="auto"/>
          <w:kern w:val="0"/>
          <w:sz w:val="28"/>
          <w:szCs w:val="28"/>
        </w:rPr>
        <w:t>供应商签署的授权委托书。授权委托书应载明代理人的姓名或者名称、代理事项、具体权限、期限和相关事项。</w:t>
      </w:r>
    </w:p>
    <w:p>
      <w:pPr>
        <w:widowControl/>
        <w:spacing w:line="500" w:lineRule="exact"/>
        <w:ind w:firstLine="560" w:firstLineChars="200"/>
        <w:jc w:val="left"/>
        <w:rPr>
          <w:rFonts w:ascii="仿宋_GB2312" w:eastAsia="仿宋_GB2312"/>
          <w:color w:val="auto"/>
          <w:sz w:val="28"/>
          <w:szCs w:val="28"/>
        </w:rPr>
      </w:pPr>
      <w:r>
        <w:rPr>
          <w:rFonts w:hint="eastAsia" w:ascii="仿宋_GB2312" w:eastAsia="仿宋_GB2312"/>
          <w:color w:val="auto"/>
          <w:sz w:val="28"/>
          <w:szCs w:val="28"/>
        </w:rPr>
        <w:t>3.质疑供应商若对项目的某一分包进行质疑，质疑函中应列明具体分包号。</w:t>
      </w:r>
    </w:p>
    <w:p>
      <w:pPr>
        <w:widowControl/>
        <w:spacing w:line="500" w:lineRule="exact"/>
        <w:ind w:firstLine="560" w:firstLineChars="200"/>
        <w:jc w:val="left"/>
        <w:rPr>
          <w:rFonts w:ascii="仿宋_GB2312" w:eastAsia="仿宋_GB2312"/>
          <w:color w:val="auto"/>
          <w:sz w:val="28"/>
          <w:szCs w:val="28"/>
        </w:rPr>
      </w:pPr>
      <w:r>
        <w:rPr>
          <w:rFonts w:hint="eastAsia" w:ascii="仿宋_GB2312" w:eastAsia="仿宋_GB2312"/>
          <w:color w:val="auto"/>
          <w:sz w:val="28"/>
          <w:szCs w:val="28"/>
        </w:rPr>
        <w:t>4.质疑函的质疑事项应具体、明确，并有必要的事实依据和法律依据。</w:t>
      </w:r>
    </w:p>
    <w:p>
      <w:pPr>
        <w:widowControl/>
        <w:spacing w:line="500" w:lineRule="exact"/>
        <w:ind w:firstLine="560" w:firstLineChars="200"/>
        <w:jc w:val="left"/>
        <w:rPr>
          <w:rFonts w:ascii="仿宋_GB2312" w:eastAsia="仿宋_GB2312"/>
          <w:color w:val="auto"/>
          <w:sz w:val="28"/>
          <w:szCs w:val="28"/>
        </w:rPr>
      </w:pPr>
      <w:r>
        <w:rPr>
          <w:rFonts w:hint="eastAsia" w:ascii="仿宋_GB2312" w:eastAsia="仿宋_GB2312"/>
          <w:color w:val="auto"/>
          <w:sz w:val="28"/>
          <w:szCs w:val="28"/>
        </w:rPr>
        <w:t>5.质疑函的质疑请求应与质疑事项相关。</w:t>
      </w:r>
    </w:p>
    <w:p>
      <w:pPr>
        <w:widowControl/>
        <w:spacing w:line="500" w:lineRule="exact"/>
        <w:ind w:firstLine="560" w:firstLineChars="200"/>
        <w:jc w:val="left"/>
        <w:rPr>
          <w:rFonts w:ascii="仿宋_GB2312" w:eastAsia="仿宋_GB2312"/>
          <w:color w:val="auto"/>
          <w:sz w:val="28"/>
          <w:szCs w:val="28"/>
        </w:rPr>
      </w:pPr>
      <w:r>
        <w:rPr>
          <w:rFonts w:hint="eastAsia" w:ascii="仿宋_GB2312" w:eastAsia="仿宋_GB2312"/>
          <w:color w:val="auto"/>
          <w:sz w:val="28"/>
          <w:szCs w:val="28"/>
        </w:rPr>
        <w:t>6.质疑供应商为自然人的，质疑函应由本人签字；质疑供应商为法人或者其他组织的，质疑函应由法定代表人、主要负责人，或者其授权代表签字或者盖章，并加盖公章。</w:t>
      </w:r>
    </w:p>
    <w:p>
      <w:pPr>
        <w:rPr>
          <w:color w:val="auto"/>
        </w:rPr>
      </w:pPr>
    </w:p>
    <w:p>
      <w:pPr>
        <w:spacing w:line="460" w:lineRule="exact"/>
        <w:ind w:right="1050" w:rightChars="500"/>
        <w:rPr>
          <w:rFonts w:ascii="仿宋_GB2312" w:hAnsi="仿宋_GB2312" w:eastAsia="仿宋_GB2312" w:cs="仿宋_GB2312"/>
          <w:color w:val="auto"/>
          <w:sz w:val="28"/>
          <w:szCs w:val="28"/>
          <w:u w:val="single"/>
        </w:rPr>
      </w:pPr>
    </w:p>
    <w:p>
      <w:pPr>
        <w:spacing w:line="460" w:lineRule="exact"/>
        <w:ind w:right="1050" w:rightChars="500"/>
        <w:rPr>
          <w:rFonts w:ascii="仿宋_GB2312" w:hAnsi="仿宋_GB2312" w:eastAsia="仿宋_GB2312" w:cs="仿宋_GB2312"/>
          <w:color w:val="auto"/>
          <w:sz w:val="28"/>
          <w:szCs w:val="28"/>
          <w:u w:val="single"/>
        </w:rPr>
      </w:pPr>
    </w:p>
    <w:p>
      <w:pPr>
        <w:spacing w:line="460" w:lineRule="exact"/>
        <w:ind w:right="1050" w:rightChars="500"/>
        <w:rPr>
          <w:rFonts w:ascii="仿宋_GB2312" w:hAnsi="仿宋_GB2312" w:eastAsia="仿宋_GB2312" w:cs="仿宋_GB2312"/>
          <w:color w:val="auto"/>
          <w:sz w:val="28"/>
          <w:szCs w:val="28"/>
          <w:u w:val="single"/>
        </w:rPr>
      </w:pPr>
    </w:p>
    <w:p>
      <w:pPr>
        <w:spacing w:line="460" w:lineRule="exact"/>
        <w:ind w:right="1050" w:rightChars="500"/>
        <w:rPr>
          <w:rFonts w:ascii="仿宋_GB2312" w:hAnsi="仿宋_GB2312" w:eastAsia="仿宋_GB2312" w:cs="仿宋_GB2312"/>
          <w:color w:val="auto"/>
          <w:sz w:val="28"/>
          <w:szCs w:val="28"/>
          <w:u w:val="single"/>
        </w:rPr>
      </w:pPr>
    </w:p>
    <w:p>
      <w:pPr>
        <w:spacing w:line="460" w:lineRule="exact"/>
        <w:ind w:right="1050" w:rightChars="500"/>
        <w:rPr>
          <w:rFonts w:ascii="仿宋_GB2312" w:hAnsi="仿宋_GB2312" w:eastAsia="仿宋_GB2312" w:cs="仿宋_GB2312"/>
          <w:color w:val="auto"/>
          <w:sz w:val="28"/>
          <w:szCs w:val="28"/>
          <w:u w:val="single"/>
        </w:rPr>
      </w:pPr>
    </w:p>
    <w:p>
      <w:pPr>
        <w:spacing w:line="460" w:lineRule="exact"/>
        <w:ind w:right="1050" w:rightChars="500"/>
        <w:rPr>
          <w:rFonts w:ascii="仿宋_GB2312" w:hAnsi="仿宋_GB2312" w:eastAsia="仿宋_GB2312" w:cs="仿宋_GB2312"/>
          <w:color w:val="auto"/>
          <w:sz w:val="28"/>
          <w:szCs w:val="28"/>
          <w:u w:val="single"/>
        </w:rPr>
      </w:pPr>
    </w:p>
    <w:p>
      <w:pPr>
        <w:spacing w:line="460" w:lineRule="exact"/>
        <w:ind w:right="1050" w:rightChars="500"/>
        <w:rPr>
          <w:rFonts w:ascii="仿宋_GB2312" w:hAnsi="仿宋_GB2312" w:eastAsia="仿宋_GB2312" w:cs="仿宋_GB2312"/>
          <w:color w:val="auto"/>
          <w:sz w:val="28"/>
          <w:szCs w:val="28"/>
          <w:u w:val="single"/>
        </w:rPr>
      </w:pPr>
    </w:p>
    <w:p>
      <w:pPr>
        <w:spacing w:line="460" w:lineRule="exact"/>
        <w:ind w:right="1050" w:rightChars="500"/>
        <w:rPr>
          <w:rFonts w:ascii="仿宋_GB2312" w:hAnsi="仿宋_GB2312" w:eastAsia="仿宋_GB2312" w:cs="仿宋_GB2312"/>
          <w:color w:val="auto"/>
          <w:sz w:val="28"/>
          <w:szCs w:val="28"/>
          <w:u w:val="single"/>
        </w:rPr>
      </w:pPr>
    </w:p>
    <w:p>
      <w:pPr>
        <w:spacing w:line="460" w:lineRule="exact"/>
        <w:ind w:right="1050" w:rightChars="500"/>
        <w:rPr>
          <w:rFonts w:ascii="仿宋_GB2312" w:hAnsi="仿宋_GB2312" w:eastAsia="仿宋_GB2312" w:cs="仿宋_GB2312"/>
          <w:color w:val="auto"/>
          <w:sz w:val="28"/>
          <w:szCs w:val="28"/>
          <w:u w:val="single"/>
        </w:rPr>
      </w:pPr>
    </w:p>
    <w:p>
      <w:pPr>
        <w:spacing w:line="460" w:lineRule="exact"/>
        <w:ind w:right="1050" w:rightChars="500"/>
        <w:rPr>
          <w:rFonts w:ascii="仿宋_GB2312" w:hAnsi="仿宋_GB2312" w:eastAsia="仿宋_GB2312" w:cs="仿宋_GB2312"/>
          <w:color w:val="auto"/>
          <w:sz w:val="28"/>
          <w:szCs w:val="28"/>
          <w:u w:val="single"/>
        </w:rPr>
      </w:pPr>
    </w:p>
    <w:p>
      <w:pPr>
        <w:spacing w:line="460" w:lineRule="exact"/>
        <w:ind w:right="1050" w:rightChars="500"/>
        <w:rPr>
          <w:rFonts w:ascii="仿宋_GB2312" w:hAnsi="仿宋_GB2312" w:eastAsia="仿宋_GB2312" w:cs="仿宋_GB2312"/>
          <w:color w:val="auto"/>
          <w:sz w:val="28"/>
          <w:szCs w:val="28"/>
          <w:u w:val="single"/>
        </w:rPr>
      </w:pPr>
    </w:p>
    <w:p>
      <w:pPr>
        <w:spacing w:line="460" w:lineRule="exact"/>
        <w:ind w:right="1050" w:rightChars="500"/>
        <w:rPr>
          <w:rFonts w:ascii="仿宋_GB2312" w:hAnsi="仿宋_GB2312" w:eastAsia="仿宋_GB2312" w:cs="仿宋_GB2312"/>
          <w:color w:val="auto"/>
          <w:sz w:val="28"/>
          <w:szCs w:val="28"/>
          <w:u w:val="single"/>
        </w:rPr>
      </w:pPr>
    </w:p>
    <w:p>
      <w:pPr>
        <w:spacing w:line="460" w:lineRule="exact"/>
        <w:ind w:right="1050" w:rightChars="500"/>
        <w:rPr>
          <w:rFonts w:ascii="仿宋_GB2312" w:hAnsi="仿宋_GB2312" w:eastAsia="仿宋_GB2312" w:cs="仿宋_GB2312"/>
          <w:color w:val="auto"/>
          <w:sz w:val="28"/>
          <w:szCs w:val="28"/>
          <w:u w:val="single"/>
        </w:rPr>
      </w:pPr>
    </w:p>
    <w:p>
      <w:pPr>
        <w:spacing w:line="460" w:lineRule="exact"/>
        <w:ind w:right="1050" w:rightChars="500"/>
        <w:rPr>
          <w:rFonts w:ascii="仿宋_GB2312" w:hAnsi="仿宋_GB2312" w:eastAsia="仿宋_GB2312" w:cs="仿宋_GB2312"/>
          <w:color w:val="auto"/>
          <w:sz w:val="28"/>
          <w:szCs w:val="28"/>
          <w:u w:val="single"/>
        </w:rPr>
      </w:pPr>
    </w:p>
    <w:p>
      <w:pPr>
        <w:pStyle w:val="2"/>
        <w:rPr>
          <w:color w:val="auto"/>
        </w:rPr>
      </w:pPr>
    </w:p>
    <w:p>
      <w:pPr>
        <w:pStyle w:val="4"/>
        <w:spacing w:afterLines="50" w:line="360" w:lineRule="auto"/>
        <w:rPr>
          <w:rFonts w:ascii="仿宋_GB2312" w:eastAsia="仿宋_GB2312"/>
          <w:bCs w:val="0"/>
          <w:color w:val="auto"/>
          <w:sz w:val="30"/>
          <w:szCs w:val="30"/>
        </w:rPr>
      </w:pPr>
      <w:bookmarkStart w:id="165" w:name="_Toc73278725"/>
      <w:bookmarkStart w:id="166" w:name="_Toc73261679"/>
      <w:r>
        <w:rPr>
          <w:rFonts w:hint="eastAsia" w:ascii="仿宋_GB2312" w:eastAsia="仿宋_GB2312"/>
          <w:bCs w:val="0"/>
          <w:color w:val="auto"/>
          <w:sz w:val="30"/>
          <w:szCs w:val="30"/>
        </w:rPr>
        <w:t>附件四、政府采购供应商投诉书范本</w:t>
      </w:r>
      <w:bookmarkEnd w:id="165"/>
      <w:bookmarkEnd w:id="166"/>
    </w:p>
    <w:p>
      <w:pPr>
        <w:jc w:val="center"/>
        <w:rPr>
          <w:rFonts w:ascii="宋体" w:hAnsi="宋体"/>
          <w:b/>
          <w:color w:val="auto"/>
          <w:sz w:val="44"/>
          <w:szCs w:val="44"/>
        </w:rPr>
      </w:pPr>
      <w:r>
        <w:rPr>
          <w:rFonts w:hint="eastAsia" w:ascii="宋体" w:hAnsi="宋体"/>
          <w:b/>
          <w:color w:val="auto"/>
          <w:sz w:val="44"/>
          <w:szCs w:val="44"/>
        </w:rPr>
        <w:t>投诉书</w:t>
      </w:r>
    </w:p>
    <w:p>
      <w:pPr>
        <w:spacing w:line="500" w:lineRule="exact"/>
        <w:rPr>
          <w:rFonts w:ascii="黑体" w:hAnsi="黑体" w:eastAsia="黑体"/>
          <w:color w:val="auto"/>
          <w:sz w:val="28"/>
          <w:szCs w:val="28"/>
        </w:rPr>
      </w:pPr>
      <w:r>
        <w:rPr>
          <w:rFonts w:hint="eastAsia" w:ascii="黑体" w:hAnsi="黑体" w:eastAsia="黑体"/>
          <w:color w:val="auto"/>
          <w:sz w:val="28"/>
          <w:szCs w:val="28"/>
        </w:rPr>
        <w:t>一、投诉相关主体基本情况</w:t>
      </w:r>
    </w:p>
    <w:p>
      <w:pPr>
        <w:spacing w:line="500" w:lineRule="exact"/>
        <w:rPr>
          <w:rFonts w:ascii="仿宋_GB2312" w:eastAsia="仿宋_GB2312"/>
          <w:color w:val="auto"/>
          <w:sz w:val="28"/>
          <w:szCs w:val="28"/>
          <w:u w:val="dotted"/>
        </w:rPr>
      </w:pPr>
      <w:r>
        <w:rPr>
          <w:rFonts w:hint="eastAsia" w:ascii="仿宋_GB2312" w:eastAsia="仿宋_GB2312"/>
          <w:color w:val="auto"/>
          <w:sz w:val="28"/>
          <w:szCs w:val="28"/>
        </w:rPr>
        <w:t>投诉人：</w:t>
      </w:r>
      <w:r>
        <w:rPr>
          <w:rFonts w:hint="eastAsia" w:ascii="仿宋_GB2312" w:eastAsia="仿宋_GB2312"/>
          <w:color w:val="auto"/>
          <w:sz w:val="28"/>
          <w:szCs w:val="28"/>
          <w:u w:val="dotted"/>
        </w:rPr>
        <w:t xml:space="preserve">                                               </w:t>
      </w:r>
    </w:p>
    <w:p>
      <w:pPr>
        <w:spacing w:line="500" w:lineRule="exact"/>
        <w:rPr>
          <w:rFonts w:ascii="仿宋_GB2312" w:eastAsia="仿宋_GB2312"/>
          <w:color w:val="auto"/>
          <w:sz w:val="28"/>
          <w:szCs w:val="28"/>
          <w:u w:val="single"/>
        </w:rPr>
      </w:pPr>
      <w:r>
        <w:rPr>
          <w:rFonts w:hint="eastAsia" w:ascii="仿宋_GB2312" w:eastAsia="仿宋_GB2312"/>
          <w:color w:val="auto"/>
          <w:sz w:val="28"/>
          <w:szCs w:val="28"/>
        </w:rPr>
        <w:t>地     址：</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邮编：</w:t>
      </w:r>
      <w:r>
        <w:rPr>
          <w:rFonts w:hint="eastAsia" w:ascii="仿宋_GB2312" w:eastAsia="仿宋_GB2312"/>
          <w:color w:val="auto"/>
          <w:sz w:val="28"/>
          <w:szCs w:val="28"/>
          <w:u w:val="dotted"/>
        </w:rPr>
        <w:t xml:space="preserve">         </w:t>
      </w:r>
      <w:r>
        <w:rPr>
          <w:rFonts w:hint="eastAsia" w:ascii="仿宋_GB2312" w:eastAsia="仿宋_GB2312"/>
          <w:color w:val="auto"/>
          <w:sz w:val="28"/>
          <w:szCs w:val="28"/>
          <w:u w:val="single"/>
        </w:rPr>
        <w:t xml:space="preserve">   </w:t>
      </w:r>
    </w:p>
    <w:p>
      <w:pPr>
        <w:tabs>
          <w:tab w:val="left" w:pos="6510"/>
        </w:tabs>
        <w:spacing w:line="500" w:lineRule="exact"/>
        <w:jc w:val="left"/>
        <w:rPr>
          <w:rFonts w:ascii="仿宋_GB2312" w:eastAsia="仿宋_GB2312"/>
          <w:color w:val="auto"/>
          <w:sz w:val="28"/>
          <w:szCs w:val="28"/>
        </w:rPr>
      </w:pPr>
      <w:r>
        <w:rPr>
          <w:rFonts w:hint="eastAsia" w:ascii="仿宋_GB2312" w:eastAsia="仿宋_GB2312"/>
          <w:color w:val="auto"/>
          <w:sz w:val="28"/>
          <w:szCs w:val="28"/>
        </w:rPr>
        <w:t>法定代表人/主要负责人：</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 xml:space="preserve">  </w:t>
      </w:r>
    </w:p>
    <w:p>
      <w:pPr>
        <w:tabs>
          <w:tab w:val="left" w:pos="6510"/>
        </w:tabs>
        <w:spacing w:line="500" w:lineRule="exact"/>
        <w:rPr>
          <w:rFonts w:ascii="仿宋_GB2312" w:eastAsia="仿宋_GB2312"/>
          <w:color w:val="auto"/>
          <w:sz w:val="28"/>
          <w:szCs w:val="28"/>
          <w:u w:val="dotted"/>
        </w:rPr>
      </w:pPr>
      <w:r>
        <w:rPr>
          <w:rFonts w:hint="eastAsia" w:ascii="仿宋_GB2312" w:eastAsia="仿宋_GB2312"/>
          <w:color w:val="auto"/>
          <w:sz w:val="28"/>
          <w:szCs w:val="28"/>
        </w:rPr>
        <w:t>联系电话：</w:t>
      </w:r>
      <w:r>
        <w:rPr>
          <w:rFonts w:hint="eastAsia" w:ascii="仿宋_GB2312" w:eastAsia="仿宋_GB2312"/>
          <w:color w:val="auto"/>
          <w:sz w:val="28"/>
          <w:szCs w:val="28"/>
          <w:u w:val="dotted"/>
        </w:rPr>
        <w:t xml:space="preserve">                                             </w:t>
      </w:r>
    </w:p>
    <w:p>
      <w:pPr>
        <w:spacing w:line="500" w:lineRule="exact"/>
        <w:rPr>
          <w:rFonts w:ascii="仿宋_GB2312" w:eastAsia="仿宋_GB2312"/>
          <w:color w:val="auto"/>
          <w:sz w:val="28"/>
          <w:szCs w:val="28"/>
          <w:u w:val="dotted"/>
        </w:rPr>
      </w:pPr>
      <w:r>
        <w:rPr>
          <w:rFonts w:hint="eastAsia" w:ascii="仿宋_GB2312" w:eastAsia="仿宋_GB2312"/>
          <w:color w:val="auto"/>
          <w:sz w:val="28"/>
          <w:szCs w:val="28"/>
        </w:rPr>
        <w:t>授权代表：</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联系电话</w:t>
      </w:r>
      <w:r>
        <w:rPr>
          <w:rFonts w:hint="eastAsia" w:ascii="仿宋_GB2312" w:eastAsia="仿宋_GB2312"/>
          <w:color w:val="auto"/>
          <w:sz w:val="28"/>
          <w:szCs w:val="28"/>
          <w:u w:val="dotted"/>
        </w:rPr>
        <w:t xml:space="preserve">：                  </w:t>
      </w:r>
    </w:p>
    <w:p>
      <w:pPr>
        <w:spacing w:line="500" w:lineRule="exact"/>
        <w:rPr>
          <w:rFonts w:ascii="仿宋_GB2312" w:eastAsia="仿宋_GB2312"/>
          <w:color w:val="auto"/>
          <w:sz w:val="28"/>
          <w:szCs w:val="28"/>
          <w:u w:val="dotted"/>
        </w:rPr>
      </w:pPr>
      <w:r>
        <w:rPr>
          <w:rFonts w:hint="eastAsia" w:ascii="仿宋_GB2312" w:eastAsia="仿宋_GB2312"/>
          <w:color w:val="auto"/>
          <w:sz w:val="28"/>
          <w:szCs w:val="28"/>
        </w:rPr>
        <w:t>地     址：</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邮编：</w:t>
      </w:r>
      <w:r>
        <w:rPr>
          <w:rFonts w:hint="eastAsia" w:ascii="仿宋_GB2312" w:eastAsia="仿宋_GB2312"/>
          <w:color w:val="auto"/>
          <w:sz w:val="28"/>
          <w:szCs w:val="28"/>
          <w:u w:val="dotted"/>
        </w:rPr>
        <w:t xml:space="preserve">         </w:t>
      </w:r>
      <w:r>
        <w:rPr>
          <w:rFonts w:hint="eastAsia" w:ascii="仿宋_GB2312" w:eastAsia="仿宋_GB2312"/>
          <w:color w:val="auto"/>
          <w:sz w:val="28"/>
          <w:szCs w:val="28"/>
          <w:u w:val="single"/>
        </w:rPr>
        <w:t xml:space="preserve"> </w:t>
      </w:r>
      <w:r>
        <w:rPr>
          <w:rFonts w:hint="eastAsia" w:ascii="仿宋_GB2312" w:eastAsia="仿宋_GB2312"/>
          <w:color w:val="auto"/>
          <w:sz w:val="28"/>
          <w:szCs w:val="28"/>
          <w:u w:val="dotted"/>
        </w:rPr>
        <w:t xml:space="preserve">                   </w:t>
      </w:r>
    </w:p>
    <w:p>
      <w:pPr>
        <w:spacing w:line="500" w:lineRule="exact"/>
        <w:rPr>
          <w:rFonts w:ascii="仿宋_GB2312" w:eastAsia="仿宋_GB2312"/>
          <w:color w:val="auto"/>
          <w:sz w:val="28"/>
          <w:szCs w:val="28"/>
          <w:u w:val="single"/>
        </w:rPr>
      </w:pPr>
      <w:r>
        <w:rPr>
          <w:rFonts w:hint="eastAsia" w:ascii="仿宋_GB2312" w:eastAsia="仿宋_GB2312"/>
          <w:color w:val="auto"/>
          <w:sz w:val="28"/>
          <w:szCs w:val="28"/>
        </w:rPr>
        <w:t>被投诉人1：</w:t>
      </w:r>
      <w:r>
        <w:rPr>
          <w:rFonts w:hint="eastAsia" w:ascii="仿宋_GB2312" w:eastAsia="仿宋_GB2312"/>
          <w:color w:val="auto"/>
          <w:sz w:val="28"/>
          <w:szCs w:val="28"/>
          <w:u w:val="dotted"/>
        </w:rPr>
        <w:t xml:space="preserve">                                           </w:t>
      </w:r>
      <w:r>
        <w:rPr>
          <w:rFonts w:hint="eastAsia" w:ascii="仿宋_GB2312" w:eastAsia="仿宋_GB2312"/>
          <w:color w:val="auto"/>
          <w:sz w:val="28"/>
          <w:szCs w:val="28"/>
          <w:u w:val="single"/>
        </w:rPr>
        <w:t xml:space="preserve">  </w:t>
      </w:r>
    </w:p>
    <w:p>
      <w:pPr>
        <w:spacing w:line="500" w:lineRule="exact"/>
        <w:rPr>
          <w:rFonts w:ascii="仿宋_GB2312" w:eastAsia="仿宋_GB2312"/>
          <w:color w:val="auto"/>
          <w:sz w:val="28"/>
          <w:szCs w:val="28"/>
          <w:u w:val="single"/>
        </w:rPr>
      </w:pPr>
      <w:r>
        <w:rPr>
          <w:rFonts w:hint="eastAsia" w:ascii="仿宋_GB2312" w:eastAsia="仿宋_GB2312"/>
          <w:color w:val="auto"/>
          <w:sz w:val="28"/>
          <w:szCs w:val="28"/>
        </w:rPr>
        <w:t>地     址：</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邮编：</w:t>
      </w:r>
      <w:r>
        <w:rPr>
          <w:rFonts w:hint="eastAsia" w:ascii="仿宋_GB2312" w:eastAsia="仿宋_GB2312"/>
          <w:color w:val="auto"/>
          <w:sz w:val="28"/>
          <w:szCs w:val="28"/>
          <w:u w:val="dotted"/>
        </w:rPr>
        <w:t xml:space="preserve">          </w:t>
      </w:r>
      <w:r>
        <w:rPr>
          <w:rFonts w:hint="eastAsia" w:ascii="仿宋_GB2312" w:eastAsia="仿宋_GB2312"/>
          <w:color w:val="auto"/>
          <w:sz w:val="28"/>
          <w:szCs w:val="28"/>
          <w:u w:val="single"/>
        </w:rPr>
        <w:t xml:space="preserve"> </w:t>
      </w:r>
    </w:p>
    <w:p>
      <w:pPr>
        <w:spacing w:line="500" w:lineRule="exact"/>
        <w:rPr>
          <w:rFonts w:ascii="仿宋_GB2312" w:eastAsia="仿宋_GB2312"/>
          <w:color w:val="auto"/>
          <w:sz w:val="28"/>
          <w:szCs w:val="28"/>
          <w:u w:val="single"/>
        </w:rPr>
      </w:pPr>
      <w:r>
        <w:rPr>
          <w:rFonts w:hint="eastAsia" w:ascii="仿宋_GB2312" w:eastAsia="仿宋_GB2312"/>
          <w:color w:val="auto"/>
          <w:sz w:val="28"/>
          <w:szCs w:val="28"/>
        </w:rPr>
        <w:t>联系人：</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联系电话：</w:t>
      </w:r>
      <w:r>
        <w:rPr>
          <w:rFonts w:hint="eastAsia" w:ascii="仿宋_GB2312" w:eastAsia="仿宋_GB2312"/>
          <w:color w:val="auto"/>
          <w:sz w:val="28"/>
          <w:szCs w:val="28"/>
          <w:u w:val="dotted"/>
        </w:rPr>
        <w:t xml:space="preserve">                      </w:t>
      </w:r>
      <w:r>
        <w:rPr>
          <w:rFonts w:hint="eastAsia" w:ascii="仿宋_GB2312" w:eastAsia="仿宋_GB2312"/>
          <w:color w:val="auto"/>
          <w:sz w:val="28"/>
          <w:szCs w:val="28"/>
          <w:u w:val="single"/>
        </w:rPr>
        <w:t xml:space="preserve"> </w:t>
      </w:r>
    </w:p>
    <w:p>
      <w:pPr>
        <w:spacing w:line="500" w:lineRule="exact"/>
        <w:rPr>
          <w:rFonts w:ascii="仿宋_GB2312" w:eastAsia="仿宋_GB2312"/>
          <w:color w:val="auto"/>
          <w:sz w:val="28"/>
          <w:szCs w:val="28"/>
        </w:rPr>
      </w:pPr>
      <w:r>
        <w:rPr>
          <w:rFonts w:hint="eastAsia" w:ascii="仿宋_GB2312" w:eastAsia="仿宋_GB2312"/>
          <w:color w:val="auto"/>
          <w:sz w:val="28"/>
          <w:szCs w:val="28"/>
        </w:rPr>
        <w:t>被投诉人2</w:t>
      </w:r>
    </w:p>
    <w:p>
      <w:pPr>
        <w:spacing w:line="500" w:lineRule="exact"/>
        <w:rPr>
          <w:rFonts w:ascii="仿宋_GB2312" w:eastAsia="仿宋_GB2312"/>
          <w:color w:val="auto"/>
          <w:sz w:val="28"/>
          <w:szCs w:val="28"/>
          <w:u w:val="dotted"/>
        </w:rPr>
      </w:pPr>
      <w:r>
        <w:rPr>
          <w:rFonts w:hint="eastAsia" w:ascii="仿宋_GB2312" w:eastAsia="仿宋_GB2312"/>
          <w:color w:val="auto"/>
          <w:sz w:val="28"/>
          <w:szCs w:val="28"/>
        </w:rPr>
        <w:t>……</w:t>
      </w:r>
    </w:p>
    <w:p>
      <w:pPr>
        <w:spacing w:line="500" w:lineRule="exact"/>
        <w:rPr>
          <w:rFonts w:ascii="仿宋_GB2312" w:eastAsia="仿宋_GB2312"/>
          <w:color w:val="auto"/>
          <w:sz w:val="28"/>
          <w:szCs w:val="28"/>
          <w:u w:val="single"/>
        </w:rPr>
      </w:pPr>
      <w:r>
        <w:rPr>
          <w:rFonts w:hint="eastAsia" w:ascii="仿宋_GB2312" w:eastAsia="仿宋_GB2312"/>
          <w:color w:val="auto"/>
          <w:sz w:val="28"/>
          <w:szCs w:val="28"/>
        </w:rPr>
        <w:t>相关供应商：</w:t>
      </w:r>
      <w:r>
        <w:rPr>
          <w:rFonts w:hint="eastAsia" w:ascii="仿宋_GB2312" w:eastAsia="仿宋_GB2312"/>
          <w:color w:val="auto"/>
          <w:sz w:val="28"/>
          <w:szCs w:val="28"/>
          <w:u w:val="dotted"/>
        </w:rPr>
        <w:t xml:space="preserve">                                           </w:t>
      </w:r>
      <w:r>
        <w:rPr>
          <w:rFonts w:hint="eastAsia" w:ascii="仿宋_GB2312" w:eastAsia="仿宋_GB2312"/>
          <w:color w:val="auto"/>
          <w:sz w:val="28"/>
          <w:szCs w:val="28"/>
          <w:u w:val="single"/>
        </w:rPr>
        <w:t xml:space="preserve">    </w:t>
      </w:r>
    </w:p>
    <w:p>
      <w:pPr>
        <w:spacing w:line="500" w:lineRule="exact"/>
        <w:rPr>
          <w:rFonts w:ascii="仿宋_GB2312" w:eastAsia="仿宋_GB2312"/>
          <w:color w:val="auto"/>
          <w:sz w:val="28"/>
          <w:szCs w:val="28"/>
          <w:u w:val="single"/>
        </w:rPr>
      </w:pPr>
      <w:r>
        <w:rPr>
          <w:rFonts w:hint="eastAsia" w:ascii="仿宋_GB2312" w:eastAsia="仿宋_GB2312"/>
          <w:color w:val="auto"/>
          <w:sz w:val="28"/>
          <w:szCs w:val="28"/>
        </w:rPr>
        <w:t>地     址：</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邮编：</w:t>
      </w:r>
      <w:r>
        <w:rPr>
          <w:rFonts w:hint="eastAsia" w:ascii="仿宋_GB2312" w:eastAsia="仿宋_GB2312"/>
          <w:color w:val="auto"/>
          <w:sz w:val="28"/>
          <w:szCs w:val="28"/>
          <w:u w:val="dotted"/>
        </w:rPr>
        <w:t xml:space="preserve">          </w:t>
      </w:r>
      <w:r>
        <w:rPr>
          <w:rFonts w:hint="eastAsia" w:ascii="仿宋_GB2312" w:eastAsia="仿宋_GB2312"/>
          <w:color w:val="auto"/>
          <w:sz w:val="28"/>
          <w:szCs w:val="28"/>
          <w:u w:val="single"/>
        </w:rPr>
        <w:t xml:space="preserve"> </w:t>
      </w:r>
    </w:p>
    <w:p>
      <w:pPr>
        <w:spacing w:line="500" w:lineRule="exact"/>
        <w:rPr>
          <w:rFonts w:ascii="仿宋_GB2312" w:eastAsia="仿宋_GB2312"/>
          <w:color w:val="auto"/>
          <w:sz w:val="28"/>
          <w:szCs w:val="28"/>
          <w:u w:val="single"/>
        </w:rPr>
      </w:pPr>
      <w:r>
        <w:rPr>
          <w:rFonts w:hint="eastAsia" w:ascii="仿宋_GB2312" w:eastAsia="仿宋_GB2312"/>
          <w:color w:val="auto"/>
          <w:sz w:val="28"/>
          <w:szCs w:val="28"/>
        </w:rPr>
        <w:t>联系人：</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联系电话：</w:t>
      </w:r>
      <w:r>
        <w:rPr>
          <w:rFonts w:hint="eastAsia" w:ascii="仿宋_GB2312" w:eastAsia="仿宋_GB2312"/>
          <w:color w:val="auto"/>
          <w:sz w:val="28"/>
          <w:szCs w:val="28"/>
          <w:u w:val="dotted"/>
        </w:rPr>
        <w:t xml:space="preserve">                      </w:t>
      </w:r>
      <w:r>
        <w:rPr>
          <w:rFonts w:hint="eastAsia" w:ascii="仿宋_GB2312" w:eastAsia="仿宋_GB2312"/>
          <w:color w:val="auto"/>
          <w:sz w:val="28"/>
          <w:szCs w:val="28"/>
          <w:u w:val="single"/>
        </w:rPr>
        <w:t xml:space="preserve">      </w:t>
      </w:r>
    </w:p>
    <w:p>
      <w:pPr>
        <w:spacing w:line="500" w:lineRule="exact"/>
        <w:rPr>
          <w:rFonts w:ascii="黑体" w:hAnsi="黑体" w:eastAsia="黑体"/>
          <w:color w:val="auto"/>
          <w:sz w:val="28"/>
          <w:szCs w:val="28"/>
        </w:rPr>
      </w:pPr>
      <w:r>
        <w:rPr>
          <w:rFonts w:hint="eastAsia" w:ascii="黑体" w:hAnsi="黑体" w:eastAsia="黑体"/>
          <w:color w:val="auto"/>
          <w:sz w:val="28"/>
          <w:szCs w:val="28"/>
        </w:rPr>
        <w:t>二、投诉项目基本情况</w:t>
      </w:r>
    </w:p>
    <w:p>
      <w:pPr>
        <w:spacing w:line="500" w:lineRule="exact"/>
        <w:rPr>
          <w:rFonts w:ascii="仿宋_GB2312" w:eastAsia="仿宋_GB2312"/>
          <w:color w:val="auto"/>
          <w:sz w:val="28"/>
          <w:szCs w:val="28"/>
          <w:u w:val="dotted"/>
        </w:rPr>
      </w:pPr>
      <w:r>
        <w:rPr>
          <w:rFonts w:hint="eastAsia" w:ascii="仿宋_GB2312" w:eastAsia="仿宋_GB2312"/>
          <w:color w:val="auto"/>
          <w:sz w:val="28"/>
          <w:szCs w:val="28"/>
        </w:rPr>
        <w:t>采购项目名称：</w:t>
      </w:r>
      <w:r>
        <w:rPr>
          <w:rFonts w:hint="eastAsia" w:ascii="仿宋_GB2312" w:eastAsia="仿宋_GB2312"/>
          <w:color w:val="auto"/>
          <w:sz w:val="28"/>
          <w:szCs w:val="28"/>
          <w:u w:val="dotted"/>
        </w:rPr>
        <w:t xml:space="preserve">                                        </w:t>
      </w:r>
    </w:p>
    <w:p>
      <w:pPr>
        <w:spacing w:line="500" w:lineRule="exact"/>
        <w:rPr>
          <w:rFonts w:ascii="仿宋_GB2312" w:eastAsia="仿宋_GB2312"/>
          <w:color w:val="auto"/>
          <w:sz w:val="28"/>
          <w:szCs w:val="28"/>
          <w:u w:val="single"/>
        </w:rPr>
      </w:pPr>
      <w:r>
        <w:rPr>
          <w:rFonts w:hint="eastAsia" w:ascii="仿宋_GB2312" w:eastAsia="仿宋_GB2312"/>
          <w:color w:val="auto"/>
          <w:sz w:val="28"/>
          <w:szCs w:val="28"/>
        </w:rPr>
        <w:t>采购项目编号：</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包号：</w:t>
      </w:r>
      <w:r>
        <w:rPr>
          <w:rFonts w:hint="eastAsia" w:ascii="仿宋_GB2312" w:eastAsia="仿宋_GB2312"/>
          <w:color w:val="auto"/>
          <w:sz w:val="28"/>
          <w:szCs w:val="28"/>
          <w:u w:val="dotted"/>
        </w:rPr>
        <w:t xml:space="preserve">              </w:t>
      </w:r>
    </w:p>
    <w:p>
      <w:pPr>
        <w:spacing w:line="500" w:lineRule="exact"/>
        <w:rPr>
          <w:rFonts w:ascii="仿宋_GB2312" w:eastAsia="仿宋_GB2312"/>
          <w:color w:val="auto"/>
          <w:sz w:val="28"/>
          <w:szCs w:val="28"/>
        </w:rPr>
      </w:pPr>
      <w:r>
        <w:rPr>
          <w:rFonts w:hint="eastAsia" w:ascii="仿宋_GB2312" w:eastAsia="仿宋_GB2312"/>
          <w:color w:val="auto"/>
          <w:sz w:val="28"/>
          <w:szCs w:val="28"/>
        </w:rPr>
        <w:t>采购人名称：</w:t>
      </w:r>
      <w:r>
        <w:rPr>
          <w:rFonts w:hint="eastAsia" w:ascii="仿宋_GB2312" w:eastAsia="仿宋_GB2312"/>
          <w:color w:val="auto"/>
          <w:sz w:val="28"/>
          <w:szCs w:val="28"/>
          <w:u w:val="dotted"/>
        </w:rPr>
        <w:t xml:space="preserve">                                           </w:t>
      </w:r>
      <w:r>
        <w:rPr>
          <w:rFonts w:hint="eastAsia" w:ascii="仿宋_GB2312" w:eastAsia="仿宋_GB2312"/>
          <w:color w:val="auto"/>
          <w:sz w:val="28"/>
          <w:szCs w:val="28"/>
          <w:u w:val="single"/>
        </w:rPr>
        <w:t xml:space="preserve">  </w:t>
      </w:r>
    </w:p>
    <w:p>
      <w:pPr>
        <w:spacing w:line="500" w:lineRule="exact"/>
        <w:rPr>
          <w:rFonts w:ascii="仿宋_GB2312" w:eastAsia="仿宋_GB2312"/>
          <w:color w:val="auto"/>
          <w:sz w:val="28"/>
          <w:szCs w:val="28"/>
          <w:u w:val="single"/>
        </w:rPr>
      </w:pPr>
      <w:r>
        <w:rPr>
          <w:rFonts w:hint="eastAsia" w:ascii="仿宋_GB2312" w:eastAsia="仿宋_GB2312"/>
          <w:color w:val="auto"/>
          <w:sz w:val="28"/>
          <w:szCs w:val="28"/>
        </w:rPr>
        <w:t>代理机构名称：</w:t>
      </w:r>
      <w:r>
        <w:rPr>
          <w:rFonts w:hint="eastAsia" w:ascii="仿宋_GB2312" w:eastAsia="仿宋_GB2312"/>
          <w:color w:val="auto"/>
          <w:sz w:val="28"/>
          <w:szCs w:val="28"/>
          <w:u w:val="dotted"/>
        </w:rPr>
        <w:t xml:space="preserve">                                         </w:t>
      </w:r>
    </w:p>
    <w:p>
      <w:pPr>
        <w:spacing w:line="500" w:lineRule="exact"/>
        <w:rPr>
          <w:rFonts w:ascii="仿宋_GB2312" w:eastAsia="仿宋_GB2312"/>
          <w:color w:val="auto"/>
          <w:sz w:val="28"/>
          <w:szCs w:val="28"/>
          <w:u w:val="dotted"/>
        </w:rPr>
      </w:pPr>
      <w:r>
        <w:rPr>
          <w:rFonts w:hint="eastAsia" w:ascii="仿宋_GB2312" w:eastAsia="仿宋_GB2312"/>
          <w:color w:val="auto"/>
          <w:sz w:val="28"/>
          <w:szCs w:val="28"/>
        </w:rPr>
        <w:t>采购文件公告:</w:t>
      </w:r>
      <w:r>
        <w:rPr>
          <w:rFonts w:hint="eastAsia" w:ascii="仿宋_GB2312" w:eastAsia="仿宋_GB2312"/>
          <w:color w:val="auto"/>
          <w:sz w:val="28"/>
          <w:szCs w:val="28"/>
          <w:u w:val="dotted"/>
        </w:rPr>
        <w:t xml:space="preserve">是/否 </w:t>
      </w:r>
      <w:r>
        <w:rPr>
          <w:rFonts w:hint="eastAsia" w:ascii="仿宋_GB2312" w:eastAsia="仿宋_GB2312"/>
          <w:color w:val="auto"/>
          <w:sz w:val="28"/>
          <w:szCs w:val="28"/>
        </w:rPr>
        <w:t>公告期限：</w:t>
      </w:r>
      <w:r>
        <w:rPr>
          <w:rFonts w:hint="eastAsia" w:ascii="仿宋_GB2312" w:eastAsia="仿宋_GB2312"/>
          <w:color w:val="auto"/>
          <w:sz w:val="28"/>
          <w:szCs w:val="28"/>
          <w:u w:val="dotted"/>
        </w:rPr>
        <w:t xml:space="preserve">                                 </w:t>
      </w:r>
    </w:p>
    <w:p>
      <w:pPr>
        <w:spacing w:line="500" w:lineRule="exact"/>
        <w:rPr>
          <w:rFonts w:ascii="仿宋_GB2312" w:eastAsia="仿宋_GB2312"/>
          <w:color w:val="auto"/>
          <w:sz w:val="28"/>
          <w:szCs w:val="28"/>
          <w:u w:val="single"/>
        </w:rPr>
      </w:pPr>
      <w:r>
        <w:rPr>
          <w:rFonts w:hint="eastAsia" w:ascii="仿宋_GB2312" w:eastAsia="仿宋_GB2312"/>
          <w:color w:val="auto"/>
          <w:sz w:val="28"/>
          <w:szCs w:val="28"/>
        </w:rPr>
        <w:t>采购结果公告:</w:t>
      </w:r>
      <w:r>
        <w:rPr>
          <w:rFonts w:hint="eastAsia" w:ascii="仿宋_GB2312" w:eastAsia="仿宋_GB2312"/>
          <w:color w:val="auto"/>
          <w:sz w:val="28"/>
          <w:szCs w:val="28"/>
          <w:u w:val="dotted"/>
        </w:rPr>
        <w:t xml:space="preserve">是/否 </w:t>
      </w:r>
      <w:r>
        <w:rPr>
          <w:rFonts w:hint="eastAsia" w:ascii="仿宋_GB2312" w:eastAsia="仿宋_GB2312"/>
          <w:color w:val="auto"/>
          <w:sz w:val="28"/>
          <w:szCs w:val="28"/>
        </w:rPr>
        <w:t>公告期限：</w:t>
      </w:r>
      <w:r>
        <w:rPr>
          <w:rFonts w:hint="eastAsia" w:ascii="仿宋_GB2312" w:eastAsia="仿宋_GB2312"/>
          <w:color w:val="auto"/>
          <w:sz w:val="28"/>
          <w:szCs w:val="28"/>
          <w:u w:val="dotted"/>
        </w:rPr>
        <w:t xml:space="preserve">                        </w:t>
      </w:r>
    </w:p>
    <w:p>
      <w:pPr>
        <w:spacing w:line="500" w:lineRule="exact"/>
        <w:rPr>
          <w:rFonts w:ascii="黑体" w:hAnsi="黑体" w:eastAsia="黑体"/>
          <w:color w:val="auto"/>
          <w:sz w:val="28"/>
          <w:szCs w:val="28"/>
        </w:rPr>
      </w:pPr>
      <w:r>
        <w:rPr>
          <w:rFonts w:hint="eastAsia" w:ascii="黑体" w:hAnsi="黑体" w:eastAsia="黑体"/>
          <w:color w:val="auto"/>
          <w:sz w:val="28"/>
          <w:szCs w:val="28"/>
        </w:rPr>
        <w:t>三、质疑基本情况</w:t>
      </w:r>
    </w:p>
    <w:p>
      <w:pPr>
        <w:spacing w:line="500" w:lineRule="exact"/>
        <w:ind w:firstLine="560" w:firstLineChars="200"/>
        <w:rPr>
          <w:rFonts w:ascii="仿宋_GB2312" w:eastAsia="仿宋_GB2312"/>
          <w:color w:val="auto"/>
          <w:sz w:val="28"/>
          <w:szCs w:val="28"/>
          <w:u w:val="dotted"/>
        </w:rPr>
      </w:pPr>
      <w:r>
        <w:rPr>
          <w:rFonts w:hint="eastAsia" w:ascii="仿宋_GB2312" w:eastAsia="仿宋_GB2312"/>
          <w:color w:val="auto"/>
          <w:sz w:val="28"/>
          <w:szCs w:val="28"/>
        </w:rPr>
        <w:t>投诉人于</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年</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月</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日,向</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提出质疑，质疑事项为：</w:t>
      </w:r>
      <w:r>
        <w:rPr>
          <w:rFonts w:hint="eastAsia" w:ascii="仿宋_GB2312" w:eastAsia="仿宋_GB2312"/>
          <w:color w:val="auto"/>
          <w:sz w:val="28"/>
          <w:szCs w:val="28"/>
          <w:u w:val="dotted"/>
        </w:rPr>
        <w:t xml:space="preserve">                                </w:t>
      </w:r>
    </w:p>
    <w:p>
      <w:pPr>
        <w:spacing w:line="500" w:lineRule="exact"/>
        <w:rPr>
          <w:rFonts w:ascii="仿宋_GB2312" w:eastAsia="仿宋_GB2312"/>
          <w:color w:val="auto"/>
          <w:sz w:val="28"/>
          <w:szCs w:val="28"/>
          <w:u w:val="dotted"/>
        </w:rPr>
      </w:pP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 xml:space="preserve">  </w:t>
      </w:r>
    </w:p>
    <w:p>
      <w:pPr>
        <w:spacing w:line="500" w:lineRule="exact"/>
        <w:ind w:firstLine="420" w:firstLineChars="150"/>
        <w:rPr>
          <w:rFonts w:ascii="仿宋_GB2312" w:eastAsia="仿宋_GB2312"/>
          <w:color w:val="auto"/>
          <w:sz w:val="28"/>
          <w:szCs w:val="28"/>
        </w:rPr>
      </w:pPr>
      <w:r>
        <w:rPr>
          <w:rFonts w:hint="eastAsia" w:ascii="仿宋_GB2312" w:eastAsia="仿宋_GB2312"/>
          <w:color w:val="auto"/>
          <w:sz w:val="28"/>
          <w:szCs w:val="28"/>
          <w:u w:val="dotted"/>
        </w:rPr>
        <w:t>采购人/代理机构</w:t>
      </w:r>
      <w:r>
        <w:rPr>
          <w:rFonts w:hint="eastAsia" w:ascii="仿宋_GB2312" w:eastAsia="仿宋_GB2312"/>
          <w:color w:val="auto"/>
          <w:sz w:val="28"/>
          <w:szCs w:val="28"/>
        </w:rPr>
        <w:t>于</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年</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月</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日,就质疑事项作出了答复/没有在法定期限内作出答复。</w:t>
      </w:r>
    </w:p>
    <w:p>
      <w:pPr>
        <w:spacing w:line="500" w:lineRule="exact"/>
        <w:rPr>
          <w:rFonts w:ascii="黑体" w:hAnsi="黑体" w:eastAsia="黑体"/>
          <w:color w:val="auto"/>
          <w:sz w:val="28"/>
          <w:szCs w:val="28"/>
        </w:rPr>
      </w:pPr>
      <w:r>
        <w:rPr>
          <w:rFonts w:hint="eastAsia" w:ascii="黑体" w:hAnsi="黑体" w:eastAsia="黑体"/>
          <w:color w:val="auto"/>
          <w:sz w:val="28"/>
          <w:szCs w:val="28"/>
        </w:rPr>
        <w:t>四、投诉事项具体内容</w:t>
      </w:r>
    </w:p>
    <w:p>
      <w:pPr>
        <w:spacing w:line="500" w:lineRule="exact"/>
        <w:rPr>
          <w:rFonts w:ascii="仿宋_GB2312" w:eastAsia="仿宋_GB2312"/>
          <w:color w:val="auto"/>
          <w:sz w:val="28"/>
          <w:szCs w:val="28"/>
          <w:u w:val="single"/>
        </w:rPr>
      </w:pPr>
      <w:r>
        <w:rPr>
          <w:rFonts w:hint="eastAsia" w:ascii="仿宋_GB2312" w:eastAsia="仿宋_GB2312"/>
          <w:color w:val="auto"/>
          <w:sz w:val="28"/>
          <w:szCs w:val="28"/>
        </w:rPr>
        <w:t>投诉事项 1：</w:t>
      </w:r>
      <w:r>
        <w:rPr>
          <w:rFonts w:hint="eastAsia" w:ascii="仿宋_GB2312" w:eastAsia="仿宋_GB2312"/>
          <w:color w:val="auto"/>
          <w:sz w:val="28"/>
          <w:szCs w:val="28"/>
          <w:u w:val="dotted"/>
        </w:rPr>
        <w:t xml:space="preserve">                                       </w:t>
      </w:r>
    </w:p>
    <w:p>
      <w:pPr>
        <w:spacing w:line="500" w:lineRule="exact"/>
        <w:rPr>
          <w:rFonts w:ascii="仿宋_GB2312" w:eastAsia="仿宋_GB2312"/>
          <w:color w:val="auto"/>
          <w:sz w:val="28"/>
          <w:szCs w:val="28"/>
        </w:rPr>
      </w:pPr>
      <w:r>
        <w:rPr>
          <w:rFonts w:hint="eastAsia" w:ascii="仿宋_GB2312" w:eastAsia="仿宋_GB2312"/>
          <w:color w:val="auto"/>
          <w:sz w:val="28"/>
          <w:szCs w:val="28"/>
        </w:rPr>
        <w:t>事实依据：</w:t>
      </w:r>
      <w:r>
        <w:rPr>
          <w:rFonts w:hint="eastAsia" w:ascii="仿宋_GB2312" w:eastAsia="仿宋_GB2312"/>
          <w:color w:val="auto"/>
          <w:sz w:val="28"/>
          <w:szCs w:val="28"/>
          <w:u w:val="dotted"/>
        </w:rPr>
        <w:t xml:space="preserve">                                         </w:t>
      </w:r>
    </w:p>
    <w:p>
      <w:pPr>
        <w:spacing w:line="500" w:lineRule="exact"/>
        <w:rPr>
          <w:rFonts w:ascii="仿宋_GB2312" w:eastAsia="仿宋_GB2312"/>
          <w:color w:val="auto"/>
          <w:sz w:val="28"/>
          <w:szCs w:val="28"/>
          <w:u w:val="dotted"/>
        </w:rPr>
      </w:pPr>
      <w:r>
        <w:rPr>
          <w:rFonts w:hint="eastAsia" w:ascii="仿宋_GB2312" w:eastAsia="仿宋_GB2312"/>
          <w:color w:val="auto"/>
          <w:sz w:val="28"/>
          <w:szCs w:val="28"/>
          <w:u w:val="dotted"/>
        </w:rPr>
        <w:t xml:space="preserve">                                                      </w:t>
      </w:r>
    </w:p>
    <w:p>
      <w:pPr>
        <w:spacing w:line="500" w:lineRule="exact"/>
        <w:rPr>
          <w:rFonts w:ascii="仿宋_GB2312" w:eastAsia="仿宋_GB2312"/>
          <w:color w:val="auto"/>
          <w:sz w:val="28"/>
          <w:szCs w:val="28"/>
          <w:u w:val="single"/>
        </w:rPr>
      </w:pPr>
      <w:r>
        <w:rPr>
          <w:rFonts w:hint="eastAsia" w:ascii="仿宋_GB2312" w:eastAsia="仿宋_GB2312"/>
          <w:color w:val="auto"/>
          <w:sz w:val="28"/>
          <w:szCs w:val="28"/>
        </w:rPr>
        <w:t>法律依据：</w:t>
      </w:r>
      <w:r>
        <w:rPr>
          <w:rFonts w:hint="eastAsia" w:ascii="仿宋_GB2312" w:eastAsia="仿宋_GB2312"/>
          <w:color w:val="auto"/>
          <w:sz w:val="28"/>
          <w:szCs w:val="28"/>
          <w:u w:val="dotted"/>
        </w:rPr>
        <w:t xml:space="preserve">                                          </w:t>
      </w:r>
    </w:p>
    <w:p>
      <w:pPr>
        <w:spacing w:line="500" w:lineRule="exact"/>
        <w:rPr>
          <w:rFonts w:ascii="仿宋_GB2312" w:eastAsia="仿宋_GB2312"/>
          <w:color w:val="auto"/>
          <w:sz w:val="28"/>
          <w:szCs w:val="28"/>
          <w:u w:val="dotted"/>
        </w:rPr>
      </w:pPr>
      <w:r>
        <w:rPr>
          <w:rFonts w:hint="eastAsia" w:ascii="仿宋_GB2312" w:eastAsia="仿宋_GB2312"/>
          <w:color w:val="auto"/>
          <w:sz w:val="28"/>
          <w:szCs w:val="28"/>
          <w:u w:val="dotted"/>
        </w:rPr>
        <w:t xml:space="preserve">                                                      </w:t>
      </w:r>
    </w:p>
    <w:p>
      <w:pPr>
        <w:spacing w:line="500" w:lineRule="exact"/>
        <w:rPr>
          <w:rFonts w:ascii="仿宋_GB2312" w:eastAsia="仿宋_GB2312"/>
          <w:color w:val="auto"/>
          <w:sz w:val="28"/>
          <w:szCs w:val="28"/>
        </w:rPr>
      </w:pPr>
      <w:r>
        <w:rPr>
          <w:rFonts w:hint="eastAsia" w:ascii="仿宋_GB2312" w:eastAsia="仿宋_GB2312"/>
          <w:color w:val="auto"/>
          <w:sz w:val="28"/>
          <w:szCs w:val="28"/>
        </w:rPr>
        <w:t>投诉事项2</w:t>
      </w:r>
    </w:p>
    <w:p>
      <w:pPr>
        <w:spacing w:line="500" w:lineRule="exact"/>
        <w:rPr>
          <w:rFonts w:ascii="仿宋_GB2312" w:eastAsia="仿宋_GB2312"/>
          <w:color w:val="auto"/>
          <w:sz w:val="28"/>
          <w:szCs w:val="28"/>
          <w:u w:val="dotted"/>
        </w:rPr>
      </w:pPr>
      <w:r>
        <w:rPr>
          <w:rFonts w:hint="eastAsia" w:ascii="仿宋_GB2312" w:eastAsia="仿宋_GB2312"/>
          <w:color w:val="auto"/>
          <w:sz w:val="28"/>
          <w:szCs w:val="28"/>
        </w:rPr>
        <w:t>……</w:t>
      </w:r>
    </w:p>
    <w:p>
      <w:pPr>
        <w:spacing w:line="500" w:lineRule="exact"/>
        <w:rPr>
          <w:rFonts w:ascii="黑体" w:hAnsi="黑体" w:eastAsia="黑体"/>
          <w:color w:val="auto"/>
          <w:sz w:val="28"/>
          <w:szCs w:val="28"/>
        </w:rPr>
      </w:pPr>
      <w:r>
        <w:rPr>
          <w:rFonts w:hint="eastAsia" w:ascii="黑体" w:hAnsi="黑体" w:eastAsia="黑体"/>
          <w:color w:val="auto"/>
          <w:sz w:val="28"/>
          <w:szCs w:val="28"/>
        </w:rPr>
        <w:t>五、与投诉事项相关的投诉请求</w:t>
      </w:r>
    </w:p>
    <w:p>
      <w:pPr>
        <w:spacing w:line="500" w:lineRule="exact"/>
        <w:rPr>
          <w:rFonts w:ascii="仿宋_GB2312" w:eastAsia="仿宋_GB2312"/>
          <w:color w:val="auto"/>
          <w:sz w:val="28"/>
          <w:szCs w:val="28"/>
        </w:rPr>
      </w:pPr>
      <w:r>
        <w:rPr>
          <w:rFonts w:hint="eastAsia" w:ascii="仿宋_GB2312" w:eastAsia="仿宋_GB2312"/>
          <w:color w:val="auto"/>
          <w:sz w:val="28"/>
          <w:szCs w:val="28"/>
        </w:rPr>
        <w:t>请求：</w:t>
      </w:r>
      <w:r>
        <w:rPr>
          <w:rFonts w:hint="eastAsia" w:ascii="仿宋_GB2312" w:eastAsia="仿宋_GB2312"/>
          <w:color w:val="auto"/>
          <w:sz w:val="28"/>
          <w:szCs w:val="28"/>
          <w:u w:val="dotted"/>
        </w:rPr>
        <w:t xml:space="preserve">                                              </w:t>
      </w:r>
      <w:r>
        <w:rPr>
          <w:rFonts w:hint="eastAsia" w:ascii="仿宋_GB2312" w:eastAsia="仿宋_GB2312"/>
          <w:color w:val="auto"/>
          <w:sz w:val="28"/>
          <w:szCs w:val="28"/>
        </w:rPr>
        <w:t xml:space="preserve"> </w:t>
      </w:r>
    </w:p>
    <w:p>
      <w:pPr>
        <w:spacing w:line="500" w:lineRule="exact"/>
        <w:rPr>
          <w:rFonts w:ascii="仿宋_GB2312" w:eastAsia="仿宋_GB2312"/>
          <w:color w:val="auto"/>
          <w:sz w:val="28"/>
          <w:szCs w:val="28"/>
          <w:u w:val="single"/>
        </w:rPr>
      </w:pPr>
      <w:r>
        <w:rPr>
          <w:rFonts w:hint="eastAsia" w:ascii="仿宋_GB2312" w:eastAsia="仿宋_GB2312"/>
          <w:color w:val="auto"/>
          <w:sz w:val="28"/>
          <w:szCs w:val="28"/>
        </w:rPr>
        <w:t xml:space="preserve">                                                                                                    </w:t>
      </w:r>
    </w:p>
    <w:p>
      <w:pPr>
        <w:spacing w:line="500" w:lineRule="exact"/>
        <w:rPr>
          <w:rFonts w:ascii="仿宋_GB2312" w:eastAsia="仿宋_GB2312"/>
          <w:color w:val="auto"/>
          <w:sz w:val="28"/>
          <w:szCs w:val="28"/>
        </w:rPr>
      </w:pPr>
      <w:r>
        <w:rPr>
          <w:rFonts w:hint="eastAsia" w:ascii="仿宋_GB2312" w:eastAsia="仿宋_GB2312"/>
          <w:color w:val="auto"/>
          <w:sz w:val="28"/>
          <w:szCs w:val="28"/>
        </w:rPr>
        <w:t xml:space="preserve">签字(签章)：                   公章：                      </w:t>
      </w:r>
    </w:p>
    <w:p>
      <w:pPr>
        <w:spacing w:line="500" w:lineRule="exact"/>
        <w:rPr>
          <w:rFonts w:ascii="仿宋_GB2312" w:eastAsia="仿宋_GB2312"/>
          <w:color w:val="auto"/>
          <w:sz w:val="32"/>
          <w:szCs w:val="32"/>
        </w:rPr>
      </w:pPr>
      <w:r>
        <w:rPr>
          <w:rFonts w:hint="eastAsia" w:ascii="仿宋_GB2312" w:eastAsia="仿宋_GB2312"/>
          <w:color w:val="auto"/>
          <w:sz w:val="28"/>
          <w:szCs w:val="28"/>
        </w:rPr>
        <w:t xml:space="preserve">日期：  </w:t>
      </w:r>
      <w:r>
        <w:rPr>
          <w:rFonts w:hint="eastAsia" w:ascii="仿宋_GB2312" w:eastAsia="仿宋_GB2312"/>
          <w:color w:val="auto"/>
          <w:sz w:val="32"/>
          <w:szCs w:val="32"/>
        </w:rPr>
        <w:t xml:space="preserve">  </w:t>
      </w:r>
    </w:p>
    <w:p>
      <w:pPr>
        <w:rPr>
          <w:rFonts w:ascii="黑体" w:hAnsi="黑体" w:eastAsia="黑体"/>
          <w:b/>
          <w:color w:val="auto"/>
          <w:sz w:val="32"/>
          <w:szCs w:val="32"/>
        </w:rPr>
      </w:pPr>
    </w:p>
    <w:p>
      <w:pPr>
        <w:rPr>
          <w:rFonts w:ascii="黑体" w:hAnsi="黑体" w:eastAsia="黑体"/>
          <w:b/>
          <w:color w:val="auto"/>
          <w:sz w:val="32"/>
          <w:szCs w:val="32"/>
        </w:rPr>
      </w:pPr>
    </w:p>
    <w:p>
      <w:pPr>
        <w:rPr>
          <w:rFonts w:ascii="黑体" w:hAnsi="黑体" w:eastAsia="黑体"/>
          <w:b/>
          <w:color w:val="auto"/>
          <w:sz w:val="32"/>
          <w:szCs w:val="32"/>
        </w:rPr>
      </w:pPr>
    </w:p>
    <w:p>
      <w:pPr>
        <w:rPr>
          <w:rFonts w:ascii="黑体" w:hAnsi="黑体" w:eastAsia="黑体"/>
          <w:b/>
          <w:color w:val="auto"/>
          <w:sz w:val="32"/>
          <w:szCs w:val="32"/>
        </w:rPr>
      </w:pPr>
    </w:p>
    <w:p>
      <w:pPr>
        <w:rPr>
          <w:rFonts w:ascii="黑体" w:hAnsi="黑体" w:eastAsia="黑体"/>
          <w:b/>
          <w:color w:val="auto"/>
          <w:sz w:val="32"/>
          <w:szCs w:val="32"/>
        </w:rPr>
      </w:pPr>
    </w:p>
    <w:p>
      <w:pPr>
        <w:rPr>
          <w:rFonts w:ascii="黑体" w:hAnsi="黑体" w:eastAsia="黑体"/>
          <w:b/>
          <w:color w:val="auto"/>
          <w:sz w:val="32"/>
          <w:szCs w:val="32"/>
        </w:rPr>
      </w:pPr>
    </w:p>
    <w:p>
      <w:pPr>
        <w:rPr>
          <w:rFonts w:ascii="黑体" w:hAnsi="黑体" w:eastAsia="黑体"/>
          <w:b/>
          <w:color w:val="auto"/>
          <w:sz w:val="32"/>
          <w:szCs w:val="32"/>
        </w:rPr>
      </w:pPr>
    </w:p>
    <w:p>
      <w:pPr>
        <w:rPr>
          <w:rFonts w:ascii="黑体" w:hAnsi="黑体" w:eastAsia="黑体"/>
          <w:b/>
          <w:color w:val="auto"/>
          <w:sz w:val="32"/>
          <w:szCs w:val="32"/>
        </w:rPr>
      </w:pPr>
    </w:p>
    <w:p>
      <w:pPr>
        <w:rPr>
          <w:rFonts w:ascii="黑体" w:hAnsi="黑体" w:eastAsia="黑体"/>
          <w:b/>
          <w:color w:val="auto"/>
          <w:sz w:val="32"/>
          <w:szCs w:val="32"/>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rFonts w:ascii="黑体" w:hAnsi="黑体" w:eastAsia="黑体"/>
          <w:b/>
          <w:color w:val="auto"/>
          <w:sz w:val="32"/>
          <w:szCs w:val="32"/>
        </w:rPr>
      </w:pPr>
    </w:p>
    <w:p>
      <w:pPr>
        <w:spacing w:afterLines="100"/>
        <w:rPr>
          <w:rFonts w:ascii="黑体" w:hAnsi="黑体" w:eastAsia="黑体"/>
          <w:b/>
          <w:color w:val="auto"/>
          <w:sz w:val="28"/>
          <w:szCs w:val="28"/>
        </w:rPr>
      </w:pPr>
      <w:r>
        <w:rPr>
          <w:rFonts w:hint="eastAsia" w:ascii="黑体" w:hAnsi="黑体" w:eastAsia="黑体"/>
          <w:b/>
          <w:color w:val="auto"/>
          <w:sz w:val="28"/>
          <w:szCs w:val="28"/>
        </w:rPr>
        <w:t>投诉书制作说明：</w:t>
      </w:r>
    </w:p>
    <w:p>
      <w:pPr>
        <w:widowControl/>
        <w:spacing w:line="500" w:lineRule="exact"/>
        <w:ind w:firstLine="560" w:firstLineChars="200"/>
        <w:rPr>
          <w:rFonts w:ascii="仿宋_GB2312" w:hAnsi="宋体" w:eastAsia="仿宋_GB2312" w:cs="宋体"/>
          <w:color w:val="auto"/>
          <w:kern w:val="0"/>
          <w:sz w:val="28"/>
          <w:szCs w:val="28"/>
        </w:rPr>
      </w:pPr>
      <w:r>
        <w:rPr>
          <w:rFonts w:hint="eastAsia" w:ascii="仿宋_GB2312" w:eastAsia="仿宋_GB2312"/>
          <w:color w:val="auto"/>
          <w:sz w:val="28"/>
          <w:szCs w:val="28"/>
        </w:rPr>
        <w:t>1.投诉人提起投诉时，应当提交投诉书和必要的证明材料，并按照被投诉人和与投诉事项有关的供应商数量提供投诉书副本。</w:t>
      </w:r>
    </w:p>
    <w:p>
      <w:pPr>
        <w:widowControl/>
        <w:spacing w:line="500" w:lineRule="exact"/>
        <w:ind w:firstLine="560" w:firstLineChars="200"/>
        <w:jc w:val="left"/>
        <w:rPr>
          <w:rFonts w:ascii="仿宋_GB2312" w:hAnsi="宋体" w:eastAsia="仿宋_GB2312" w:cs="宋体"/>
          <w:color w:val="auto"/>
          <w:kern w:val="0"/>
          <w:sz w:val="28"/>
          <w:szCs w:val="28"/>
        </w:rPr>
      </w:pPr>
      <w:r>
        <w:rPr>
          <w:rFonts w:hint="eastAsia" w:ascii="仿宋_GB2312" w:eastAsia="仿宋_GB2312"/>
          <w:color w:val="auto"/>
          <w:sz w:val="28"/>
          <w:szCs w:val="28"/>
        </w:rPr>
        <w:t>2.投诉人若委托代理人进行投诉的，投诉书应按照要求列明“授权代表”的有关内容，并在附件中提交由</w:t>
      </w:r>
      <w:r>
        <w:rPr>
          <w:rFonts w:hint="eastAsia" w:ascii="仿宋_GB2312" w:hAnsi="宋体" w:eastAsia="仿宋_GB2312" w:cs="宋体"/>
          <w:color w:val="auto"/>
          <w:kern w:val="0"/>
          <w:sz w:val="28"/>
          <w:szCs w:val="28"/>
        </w:rPr>
        <w:t>投诉人签署的授权委托书。授权委托书应当载明代理人的姓名或者名称、代理事项、具体权限、期限和相关事项。</w:t>
      </w:r>
    </w:p>
    <w:p>
      <w:pPr>
        <w:widowControl/>
        <w:spacing w:line="500" w:lineRule="exact"/>
        <w:ind w:firstLine="560" w:firstLineChars="200"/>
        <w:jc w:val="left"/>
        <w:rPr>
          <w:rFonts w:ascii="仿宋_GB2312" w:eastAsia="仿宋_GB2312"/>
          <w:color w:val="auto"/>
          <w:sz w:val="28"/>
          <w:szCs w:val="28"/>
        </w:rPr>
      </w:pPr>
      <w:r>
        <w:rPr>
          <w:rFonts w:hint="eastAsia" w:ascii="仿宋_GB2312" w:eastAsia="仿宋_GB2312"/>
          <w:color w:val="auto"/>
          <w:sz w:val="28"/>
          <w:szCs w:val="28"/>
        </w:rPr>
        <w:t>3.投诉人若对项目的某一分包进行投诉，投诉书应列明具体分包号。</w:t>
      </w:r>
    </w:p>
    <w:p>
      <w:pPr>
        <w:widowControl/>
        <w:spacing w:line="500" w:lineRule="exact"/>
        <w:ind w:firstLine="560" w:firstLineChars="200"/>
        <w:jc w:val="left"/>
        <w:rPr>
          <w:rFonts w:ascii="仿宋_GB2312" w:eastAsia="仿宋_GB2312"/>
          <w:color w:val="auto"/>
          <w:sz w:val="28"/>
          <w:szCs w:val="28"/>
        </w:rPr>
      </w:pPr>
      <w:r>
        <w:rPr>
          <w:rFonts w:hint="eastAsia" w:ascii="仿宋_GB2312" w:eastAsia="仿宋_GB2312"/>
          <w:color w:val="auto"/>
          <w:sz w:val="28"/>
          <w:szCs w:val="28"/>
        </w:rPr>
        <w:t>4.投诉书应简要列明质疑事项，质疑函、质疑答复等作为附件材料提供。</w:t>
      </w:r>
    </w:p>
    <w:p>
      <w:pPr>
        <w:widowControl/>
        <w:spacing w:line="500" w:lineRule="exact"/>
        <w:ind w:firstLine="560" w:firstLineChars="200"/>
        <w:jc w:val="left"/>
        <w:rPr>
          <w:rFonts w:ascii="仿宋_GB2312" w:eastAsia="仿宋_GB2312"/>
          <w:color w:val="auto"/>
          <w:sz w:val="28"/>
          <w:szCs w:val="28"/>
        </w:rPr>
      </w:pPr>
      <w:r>
        <w:rPr>
          <w:rFonts w:hint="eastAsia" w:ascii="仿宋_GB2312" w:eastAsia="仿宋_GB2312"/>
          <w:color w:val="auto"/>
          <w:sz w:val="28"/>
          <w:szCs w:val="28"/>
        </w:rPr>
        <w:t>5.投诉书的投诉事项应具体、明确，并有必要的事实依据和法律依据。</w:t>
      </w:r>
    </w:p>
    <w:p>
      <w:pPr>
        <w:widowControl/>
        <w:spacing w:line="500" w:lineRule="exact"/>
        <w:ind w:firstLine="560" w:firstLineChars="200"/>
        <w:jc w:val="left"/>
        <w:rPr>
          <w:rFonts w:ascii="仿宋_GB2312" w:eastAsia="仿宋_GB2312"/>
          <w:color w:val="auto"/>
          <w:sz w:val="28"/>
          <w:szCs w:val="28"/>
        </w:rPr>
      </w:pPr>
      <w:r>
        <w:rPr>
          <w:rFonts w:hint="eastAsia" w:ascii="仿宋_GB2312" w:eastAsia="仿宋_GB2312"/>
          <w:color w:val="auto"/>
          <w:sz w:val="28"/>
          <w:szCs w:val="28"/>
        </w:rPr>
        <w:t>6.投诉书的投诉请求应与投诉事项相关。</w:t>
      </w:r>
    </w:p>
    <w:p>
      <w:pPr>
        <w:widowControl/>
        <w:spacing w:line="500" w:lineRule="exact"/>
        <w:ind w:firstLine="560" w:firstLineChars="200"/>
        <w:jc w:val="left"/>
        <w:rPr>
          <w:rFonts w:ascii="仿宋_GB2312" w:hAnsi="宋体" w:eastAsia="仿宋_GB2312" w:cs="宋体"/>
          <w:color w:val="auto"/>
          <w:kern w:val="0"/>
          <w:sz w:val="28"/>
          <w:szCs w:val="28"/>
        </w:rPr>
      </w:pPr>
      <w:r>
        <w:rPr>
          <w:rFonts w:hint="eastAsia" w:ascii="仿宋_GB2312" w:eastAsia="仿宋_GB2312"/>
          <w:color w:val="auto"/>
          <w:sz w:val="28"/>
          <w:szCs w:val="28"/>
        </w:rPr>
        <w:t>7.投诉人为自然人的，投诉书应当由本人签字；投诉人为法人或者其他组织的，投诉书应当由法定代表人、主要负责人，或者其授权代表签字或者盖章，并加盖公章。</w:t>
      </w:r>
    </w:p>
    <w:p>
      <w:pPr>
        <w:spacing w:line="500" w:lineRule="exact"/>
        <w:ind w:right="1050" w:rightChars="500"/>
        <w:rPr>
          <w:rFonts w:ascii="仿宋_GB2312" w:hAnsi="仿宋_GB2312" w:eastAsia="仿宋_GB2312" w:cs="仿宋_GB2312"/>
          <w:color w:val="auto"/>
          <w:sz w:val="28"/>
          <w:szCs w:val="28"/>
          <w:u w:val="single"/>
        </w:rPr>
      </w:pPr>
    </w:p>
    <w:p>
      <w:pPr>
        <w:pStyle w:val="2"/>
        <w:spacing w:line="500" w:lineRule="exact"/>
        <w:rPr>
          <w:color w:val="auto"/>
        </w:rPr>
      </w:pPr>
    </w:p>
    <w:sectPr>
      <w:pgSz w:w="11906" w:h="16838"/>
      <w:pgMar w:top="1440" w:right="1080" w:bottom="1440" w:left="108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Lucida Sans Unicode">
    <w:panose1 w:val="020B0602030504020204"/>
    <w:charset w:val="00"/>
    <w:family w:val="swiss"/>
    <w:pitch w:val="default"/>
    <w:sig w:usb0="80001AFF" w:usb1="0000396B" w:usb2="00000000" w:usb3="00000000" w:csb0="200000BF" w:csb1="D7F70000"/>
  </w:font>
  <w:font w:name="宋体-18030">
    <w:altName w:val="宋体"/>
    <w:panose1 w:val="00000000000000000000"/>
    <w:charset w:val="86"/>
    <w:family w:val="modern"/>
    <w:pitch w:val="default"/>
    <w:sig w:usb0="00000000" w:usb1="00000000" w:usb2="000A005E"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8060099"/>
      <w:docPartObj>
        <w:docPartGallery w:val="autotext"/>
      </w:docPartObj>
    </w:sdtPr>
    <w:sdtContent>
      <w:p>
        <w:pPr>
          <w:pStyle w:val="1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92</w:t>
    </w:r>
    <w:r>
      <w:rPr>
        <w:lang w:val="zh-CN"/>
      </w:rPr>
      <w:fldChar w:fldCharType="end"/>
    </w:r>
  </w:p>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A11F48"/>
    <w:multiLevelType w:val="multilevel"/>
    <w:tmpl w:val="56A11F4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21FF0"/>
    <w:rsid w:val="00002A22"/>
    <w:rsid w:val="000052DB"/>
    <w:rsid w:val="000072DF"/>
    <w:rsid w:val="000118FA"/>
    <w:rsid w:val="00026FB7"/>
    <w:rsid w:val="000271AF"/>
    <w:rsid w:val="00031212"/>
    <w:rsid w:val="00031DB8"/>
    <w:rsid w:val="00035190"/>
    <w:rsid w:val="00040B91"/>
    <w:rsid w:val="00060C08"/>
    <w:rsid w:val="00063DCD"/>
    <w:rsid w:val="00065D08"/>
    <w:rsid w:val="0007288C"/>
    <w:rsid w:val="0008434E"/>
    <w:rsid w:val="00086196"/>
    <w:rsid w:val="000901A4"/>
    <w:rsid w:val="00090841"/>
    <w:rsid w:val="0009180D"/>
    <w:rsid w:val="00094E09"/>
    <w:rsid w:val="000966FB"/>
    <w:rsid w:val="000A3825"/>
    <w:rsid w:val="000B0005"/>
    <w:rsid w:val="000B17DA"/>
    <w:rsid w:val="000C22DB"/>
    <w:rsid w:val="000E2611"/>
    <w:rsid w:val="000E57D3"/>
    <w:rsid w:val="000F4CF9"/>
    <w:rsid w:val="00104F9F"/>
    <w:rsid w:val="001075CC"/>
    <w:rsid w:val="00112DD2"/>
    <w:rsid w:val="00123BE2"/>
    <w:rsid w:val="00136B71"/>
    <w:rsid w:val="00140B1C"/>
    <w:rsid w:val="001431CF"/>
    <w:rsid w:val="001507CC"/>
    <w:rsid w:val="001512C8"/>
    <w:rsid w:val="001513C0"/>
    <w:rsid w:val="00153D26"/>
    <w:rsid w:val="0016297E"/>
    <w:rsid w:val="00167687"/>
    <w:rsid w:val="00186EC2"/>
    <w:rsid w:val="00190091"/>
    <w:rsid w:val="001A51DE"/>
    <w:rsid w:val="001B1B22"/>
    <w:rsid w:val="001B262F"/>
    <w:rsid w:val="001C02C5"/>
    <w:rsid w:val="001C6A44"/>
    <w:rsid w:val="001D507B"/>
    <w:rsid w:val="001E229D"/>
    <w:rsid w:val="001E3612"/>
    <w:rsid w:val="001F0AB6"/>
    <w:rsid w:val="001F2B6A"/>
    <w:rsid w:val="002051CD"/>
    <w:rsid w:val="00206A27"/>
    <w:rsid w:val="002139D1"/>
    <w:rsid w:val="00216246"/>
    <w:rsid w:val="00216EFD"/>
    <w:rsid w:val="00222263"/>
    <w:rsid w:val="002302A8"/>
    <w:rsid w:val="002303FF"/>
    <w:rsid w:val="002446BD"/>
    <w:rsid w:val="00246200"/>
    <w:rsid w:val="00246AC4"/>
    <w:rsid w:val="00247834"/>
    <w:rsid w:val="00252DFF"/>
    <w:rsid w:val="00261B34"/>
    <w:rsid w:val="00261F6D"/>
    <w:rsid w:val="00281061"/>
    <w:rsid w:val="002901D1"/>
    <w:rsid w:val="002A03EA"/>
    <w:rsid w:val="002A2D23"/>
    <w:rsid w:val="002A2D75"/>
    <w:rsid w:val="002A3E20"/>
    <w:rsid w:val="002B01D1"/>
    <w:rsid w:val="002B2823"/>
    <w:rsid w:val="002B6C0F"/>
    <w:rsid w:val="002C5396"/>
    <w:rsid w:val="002D056C"/>
    <w:rsid w:val="002D0D02"/>
    <w:rsid w:val="002F0C3A"/>
    <w:rsid w:val="0030528E"/>
    <w:rsid w:val="003057F6"/>
    <w:rsid w:val="0032298B"/>
    <w:rsid w:val="00327F38"/>
    <w:rsid w:val="00335A76"/>
    <w:rsid w:val="0034177F"/>
    <w:rsid w:val="00344E1D"/>
    <w:rsid w:val="00344F5F"/>
    <w:rsid w:val="00345517"/>
    <w:rsid w:val="0035124D"/>
    <w:rsid w:val="00356139"/>
    <w:rsid w:val="00366D81"/>
    <w:rsid w:val="00371DC2"/>
    <w:rsid w:val="00382308"/>
    <w:rsid w:val="00384D8E"/>
    <w:rsid w:val="00386F7A"/>
    <w:rsid w:val="003A43F4"/>
    <w:rsid w:val="003A6F49"/>
    <w:rsid w:val="003B0173"/>
    <w:rsid w:val="003C0C37"/>
    <w:rsid w:val="003C16B6"/>
    <w:rsid w:val="003C1E28"/>
    <w:rsid w:val="003D150E"/>
    <w:rsid w:val="003D4710"/>
    <w:rsid w:val="003E37DD"/>
    <w:rsid w:val="003E45B6"/>
    <w:rsid w:val="0040376C"/>
    <w:rsid w:val="0040681C"/>
    <w:rsid w:val="00413374"/>
    <w:rsid w:val="00417137"/>
    <w:rsid w:val="004223A7"/>
    <w:rsid w:val="00423870"/>
    <w:rsid w:val="00440764"/>
    <w:rsid w:val="00452A9D"/>
    <w:rsid w:val="00462B2D"/>
    <w:rsid w:val="00463023"/>
    <w:rsid w:val="00483826"/>
    <w:rsid w:val="00486CB1"/>
    <w:rsid w:val="00487817"/>
    <w:rsid w:val="0049335E"/>
    <w:rsid w:val="004A4D14"/>
    <w:rsid w:val="004A72DA"/>
    <w:rsid w:val="004B4B25"/>
    <w:rsid w:val="004B6041"/>
    <w:rsid w:val="004D0706"/>
    <w:rsid w:val="004D510F"/>
    <w:rsid w:val="004E0DE6"/>
    <w:rsid w:val="00506B70"/>
    <w:rsid w:val="005174EC"/>
    <w:rsid w:val="0055695C"/>
    <w:rsid w:val="005706EF"/>
    <w:rsid w:val="00586419"/>
    <w:rsid w:val="00595E85"/>
    <w:rsid w:val="0059789C"/>
    <w:rsid w:val="005A2D4B"/>
    <w:rsid w:val="005A3F4F"/>
    <w:rsid w:val="005B3122"/>
    <w:rsid w:val="005B3710"/>
    <w:rsid w:val="005C37E0"/>
    <w:rsid w:val="005C7E04"/>
    <w:rsid w:val="005D7ECA"/>
    <w:rsid w:val="005F7C32"/>
    <w:rsid w:val="006001BA"/>
    <w:rsid w:val="00600443"/>
    <w:rsid w:val="00601833"/>
    <w:rsid w:val="00601FA9"/>
    <w:rsid w:val="00611B26"/>
    <w:rsid w:val="00621377"/>
    <w:rsid w:val="0062751D"/>
    <w:rsid w:val="0064613F"/>
    <w:rsid w:val="006508FF"/>
    <w:rsid w:val="006606FE"/>
    <w:rsid w:val="006620BA"/>
    <w:rsid w:val="00670A13"/>
    <w:rsid w:val="00671159"/>
    <w:rsid w:val="00682826"/>
    <w:rsid w:val="006A3948"/>
    <w:rsid w:val="006B4288"/>
    <w:rsid w:val="006B4822"/>
    <w:rsid w:val="006B73EF"/>
    <w:rsid w:val="006C646C"/>
    <w:rsid w:val="006D14EC"/>
    <w:rsid w:val="006D6E7C"/>
    <w:rsid w:val="006E18DD"/>
    <w:rsid w:val="00721FF0"/>
    <w:rsid w:val="00724F6E"/>
    <w:rsid w:val="00733CFE"/>
    <w:rsid w:val="007423D6"/>
    <w:rsid w:val="00744D53"/>
    <w:rsid w:val="007469DC"/>
    <w:rsid w:val="00764927"/>
    <w:rsid w:val="00781E98"/>
    <w:rsid w:val="00790D35"/>
    <w:rsid w:val="00791947"/>
    <w:rsid w:val="007C27E4"/>
    <w:rsid w:val="007C66E3"/>
    <w:rsid w:val="00803DF1"/>
    <w:rsid w:val="00807D93"/>
    <w:rsid w:val="0081146B"/>
    <w:rsid w:val="008136C4"/>
    <w:rsid w:val="00821CBA"/>
    <w:rsid w:val="00823A1F"/>
    <w:rsid w:val="0083159E"/>
    <w:rsid w:val="00833B4B"/>
    <w:rsid w:val="0084203C"/>
    <w:rsid w:val="00846105"/>
    <w:rsid w:val="00847172"/>
    <w:rsid w:val="00856E18"/>
    <w:rsid w:val="00857A26"/>
    <w:rsid w:val="00866FDC"/>
    <w:rsid w:val="00874E12"/>
    <w:rsid w:val="008904E4"/>
    <w:rsid w:val="008960CE"/>
    <w:rsid w:val="008A5FC8"/>
    <w:rsid w:val="008A78FA"/>
    <w:rsid w:val="008B5BEC"/>
    <w:rsid w:val="008B75A8"/>
    <w:rsid w:val="008C44D5"/>
    <w:rsid w:val="008D6C64"/>
    <w:rsid w:val="008E6D4B"/>
    <w:rsid w:val="008F11D8"/>
    <w:rsid w:val="008F1E37"/>
    <w:rsid w:val="009002CA"/>
    <w:rsid w:val="009037DD"/>
    <w:rsid w:val="0090508C"/>
    <w:rsid w:val="009112B4"/>
    <w:rsid w:val="00920975"/>
    <w:rsid w:val="00920E54"/>
    <w:rsid w:val="00944D04"/>
    <w:rsid w:val="00946329"/>
    <w:rsid w:val="00955E71"/>
    <w:rsid w:val="00966CF3"/>
    <w:rsid w:val="00966D2E"/>
    <w:rsid w:val="00973068"/>
    <w:rsid w:val="009A4CF3"/>
    <w:rsid w:val="009B0A98"/>
    <w:rsid w:val="009B0ADA"/>
    <w:rsid w:val="009B5149"/>
    <w:rsid w:val="009B5F83"/>
    <w:rsid w:val="009C14D8"/>
    <w:rsid w:val="009C4E8D"/>
    <w:rsid w:val="009D03E5"/>
    <w:rsid w:val="009D6B73"/>
    <w:rsid w:val="009E30C5"/>
    <w:rsid w:val="009E7C5D"/>
    <w:rsid w:val="009F58C1"/>
    <w:rsid w:val="00A01C72"/>
    <w:rsid w:val="00A06721"/>
    <w:rsid w:val="00A102CD"/>
    <w:rsid w:val="00A15EAD"/>
    <w:rsid w:val="00A16B10"/>
    <w:rsid w:val="00A265AD"/>
    <w:rsid w:val="00A45B43"/>
    <w:rsid w:val="00A47584"/>
    <w:rsid w:val="00A501F2"/>
    <w:rsid w:val="00A52A3A"/>
    <w:rsid w:val="00A8330B"/>
    <w:rsid w:val="00A93CF0"/>
    <w:rsid w:val="00A94289"/>
    <w:rsid w:val="00A976D9"/>
    <w:rsid w:val="00AB14D0"/>
    <w:rsid w:val="00AB2CF8"/>
    <w:rsid w:val="00AB7BAB"/>
    <w:rsid w:val="00AC31C0"/>
    <w:rsid w:val="00AD053A"/>
    <w:rsid w:val="00AD6345"/>
    <w:rsid w:val="00AE3656"/>
    <w:rsid w:val="00AE5E1F"/>
    <w:rsid w:val="00AF1A28"/>
    <w:rsid w:val="00B035FD"/>
    <w:rsid w:val="00B10DA7"/>
    <w:rsid w:val="00B22F6C"/>
    <w:rsid w:val="00B26639"/>
    <w:rsid w:val="00B267F3"/>
    <w:rsid w:val="00B405C4"/>
    <w:rsid w:val="00B43FA0"/>
    <w:rsid w:val="00B56DBD"/>
    <w:rsid w:val="00B574D6"/>
    <w:rsid w:val="00B736CA"/>
    <w:rsid w:val="00B75EDC"/>
    <w:rsid w:val="00B76C80"/>
    <w:rsid w:val="00B7737A"/>
    <w:rsid w:val="00B83A8F"/>
    <w:rsid w:val="00B84347"/>
    <w:rsid w:val="00B9171F"/>
    <w:rsid w:val="00B96150"/>
    <w:rsid w:val="00BA2D14"/>
    <w:rsid w:val="00BB4684"/>
    <w:rsid w:val="00BC526F"/>
    <w:rsid w:val="00BC66A5"/>
    <w:rsid w:val="00BD7B61"/>
    <w:rsid w:val="00BF0F46"/>
    <w:rsid w:val="00BF258E"/>
    <w:rsid w:val="00BF3D45"/>
    <w:rsid w:val="00BF542A"/>
    <w:rsid w:val="00C03328"/>
    <w:rsid w:val="00C06501"/>
    <w:rsid w:val="00C377F7"/>
    <w:rsid w:val="00C41774"/>
    <w:rsid w:val="00C4666E"/>
    <w:rsid w:val="00C50537"/>
    <w:rsid w:val="00C57530"/>
    <w:rsid w:val="00C6781F"/>
    <w:rsid w:val="00C83339"/>
    <w:rsid w:val="00C85A67"/>
    <w:rsid w:val="00C91D88"/>
    <w:rsid w:val="00C93E34"/>
    <w:rsid w:val="00CA12F9"/>
    <w:rsid w:val="00CA1F84"/>
    <w:rsid w:val="00CA6814"/>
    <w:rsid w:val="00CA7011"/>
    <w:rsid w:val="00CB47FF"/>
    <w:rsid w:val="00CC60F1"/>
    <w:rsid w:val="00CD07FD"/>
    <w:rsid w:val="00CE62CC"/>
    <w:rsid w:val="00CE739B"/>
    <w:rsid w:val="00CF7757"/>
    <w:rsid w:val="00D005AB"/>
    <w:rsid w:val="00D01769"/>
    <w:rsid w:val="00D01917"/>
    <w:rsid w:val="00D026CB"/>
    <w:rsid w:val="00D02A99"/>
    <w:rsid w:val="00D02D51"/>
    <w:rsid w:val="00D06A01"/>
    <w:rsid w:val="00D304C1"/>
    <w:rsid w:val="00D40C6E"/>
    <w:rsid w:val="00D424CF"/>
    <w:rsid w:val="00D46B56"/>
    <w:rsid w:val="00D73452"/>
    <w:rsid w:val="00D8721D"/>
    <w:rsid w:val="00DA5E0A"/>
    <w:rsid w:val="00DB54F6"/>
    <w:rsid w:val="00DC48AD"/>
    <w:rsid w:val="00DD0128"/>
    <w:rsid w:val="00DE19AC"/>
    <w:rsid w:val="00DE5A71"/>
    <w:rsid w:val="00DF7FC9"/>
    <w:rsid w:val="00E02511"/>
    <w:rsid w:val="00E025E6"/>
    <w:rsid w:val="00E04992"/>
    <w:rsid w:val="00E06ED3"/>
    <w:rsid w:val="00E12142"/>
    <w:rsid w:val="00E12FD9"/>
    <w:rsid w:val="00E15E2B"/>
    <w:rsid w:val="00E20BC1"/>
    <w:rsid w:val="00E211AF"/>
    <w:rsid w:val="00E24516"/>
    <w:rsid w:val="00E2487E"/>
    <w:rsid w:val="00E32357"/>
    <w:rsid w:val="00E327FC"/>
    <w:rsid w:val="00E35C71"/>
    <w:rsid w:val="00E37C8A"/>
    <w:rsid w:val="00E4007E"/>
    <w:rsid w:val="00E412E5"/>
    <w:rsid w:val="00E4176D"/>
    <w:rsid w:val="00E61A5F"/>
    <w:rsid w:val="00E62FB8"/>
    <w:rsid w:val="00E6524A"/>
    <w:rsid w:val="00E744A4"/>
    <w:rsid w:val="00E81805"/>
    <w:rsid w:val="00E82D29"/>
    <w:rsid w:val="00E86C21"/>
    <w:rsid w:val="00E87B79"/>
    <w:rsid w:val="00E916CD"/>
    <w:rsid w:val="00E92C8A"/>
    <w:rsid w:val="00EA3148"/>
    <w:rsid w:val="00EA3312"/>
    <w:rsid w:val="00EA4B24"/>
    <w:rsid w:val="00EB4629"/>
    <w:rsid w:val="00EC0452"/>
    <w:rsid w:val="00EC3647"/>
    <w:rsid w:val="00EC65D1"/>
    <w:rsid w:val="00ED423A"/>
    <w:rsid w:val="00EF0B3D"/>
    <w:rsid w:val="00EF6429"/>
    <w:rsid w:val="00F00673"/>
    <w:rsid w:val="00F1114A"/>
    <w:rsid w:val="00F13309"/>
    <w:rsid w:val="00F2562C"/>
    <w:rsid w:val="00F25FD9"/>
    <w:rsid w:val="00F34729"/>
    <w:rsid w:val="00F40748"/>
    <w:rsid w:val="00F63119"/>
    <w:rsid w:val="00F65383"/>
    <w:rsid w:val="00F6758F"/>
    <w:rsid w:val="00F733AB"/>
    <w:rsid w:val="00F742F1"/>
    <w:rsid w:val="00F76032"/>
    <w:rsid w:val="00F80FD2"/>
    <w:rsid w:val="00F84B11"/>
    <w:rsid w:val="00F9691E"/>
    <w:rsid w:val="00FA2FF0"/>
    <w:rsid w:val="00FB663F"/>
    <w:rsid w:val="00FB7E22"/>
    <w:rsid w:val="00FC4CAE"/>
    <w:rsid w:val="00FC6E5A"/>
    <w:rsid w:val="00FD168B"/>
    <w:rsid w:val="00FD18FF"/>
    <w:rsid w:val="00FD1FB9"/>
    <w:rsid w:val="00FD7F31"/>
    <w:rsid w:val="00FF77A5"/>
    <w:rsid w:val="01E01629"/>
    <w:rsid w:val="0BB12263"/>
    <w:rsid w:val="0FB76D2B"/>
    <w:rsid w:val="13D3444E"/>
    <w:rsid w:val="21670F25"/>
    <w:rsid w:val="2344734C"/>
    <w:rsid w:val="2A584447"/>
    <w:rsid w:val="36143DFE"/>
    <w:rsid w:val="3B225CDC"/>
    <w:rsid w:val="422C7955"/>
    <w:rsid w:val="45F64E9D"/>
    <w:rsid w:val="508B27A8"/>
    <w:rsid w:val="518B057A"/>
    <w:rsid w:val="612E3012"/>
    <w:rsid w:val="789D265B"/>
    <w:rsid w:val="797A7E3E"/>
    <w:rsid w:val="7982687D"/>
    <w:rsid w:val="7A1C7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6"/>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37"/>
    <w:qFormat/>
    <w:uiPriority w:val="0"/>
    <w:pPr>
      <w:keepNext/>
      <w:keepLines/>
      <w:spacing w:before="260" w:after="260" w:line="416" w:lineRule="auto"/>
      <w:outlineLvl w:val="2"/>
    </w:pPr>
    <w:rPr>
      <w:b/>
      <w:bCs/>
      <w:sz w:val="32"/>
      <w:szCs w:val="32"/>
    </w:rPr>
  </w:style>
  <w:style w:type="paragraph" w:styleId="6">
    <w:name w:val="heading 4"/>
    <w:basedOn w:val="1"/>
    <w:next w:val="1"/>
    <w:link w:val="38"/>
    <w:qFormat/>
    <w:uiPriority w:val="0"/>
    <w:pPr>
      <w:keepNext/>
      <w:keepLines/>
      <w:outlineLvl w:val="3"/>
    </w:pPr>
    <w:rPr>
      <w:rFonts w:ascii="Arial" w:hAnsi="Arial" w:eastAsia="黑体"/>
      <w:bCs/>
      <w:kern w:val="0"/>
      <w:sz w:val="24"/>
      <w:szCs w:val="28"/>
    </w:rPr>
  </w:style>
  <w:style w:type="paragraph" w:styleId="7">
    <w:name w:val="heading 7"/>
    <w:basedOn w:val="1"/>
    <w:next w:val="1"/>
    <w:link w:val="68"/>
    <w:semiHidden/>
    <w:unhideWhenUsed/>
    <w:qFormat/>
    <w:uiPriority w:val="9"/>
    <w:pPr>
      <w:keepNext/>
      <w:keepLines/>
      <w:spacing w:before="240" w:after="64" w:line="320" w:lineRule="auto"/>
      <w:outlineLvl w:val="6"/>
    </w:pPr>
    <w:rPr>
      <w:b/>
      <w:bCs/>
      <w:sz w:val="24"/>
    </w:rPr>
  </w:style>
  <w:style w:type="paragraph" w:styleId="8">
    <w:name w:val="heading 8"/>
    <w:basedOn w:val="1"/>
    <w:next w:val="1"/>
    <w:link w:val="39"/>
    <w:qFormat/>
    <w:uiPriority w:val="0"/>
    <w:pPr>
      <w:keepNext/>
      <w:keepLines/>
      <w:spacing w:before="240" w:after="64" w:line="320" w:lineRule="auto"/>
      <w:outlineLvl w:val="7"/>
    </w:pPr>
    <w:rPr>
      <w:rFonts w:ascii="Arial" w:hAnsi="Arial" w:eastAsia="黑体"/>
      <w:sz w:val="24"/>
    </w:rPr>
  </w:style>
  <w:style w:type="character" w:default="1" w:styleId="25">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5"/>
    <w:unhideWhenUsed/>
    <w:qFormat/>
    <w:uiPriority w:val="99"/>
    <w:pPr>
      <w:spacing w:after="120"/>
    </w:pPr>
  </w:style>
  <w:style w:type="paragraph" w:styleId="9">
    <w:name w:val="Normal Indent"/>
    <w:basedOn w:val="1"/>
    <w:link w:val="40"/>
    <w:qFormat/>
    <w:uiPriority w:val="0"/>
    <w:pPr>
      <w:ind w:firstLine="420" w:firstLineChars="200"/>
    </w:pPr>
  </w:style>
  <w:style w:type="paragraph" w:styleId="10">
    <w:name w:val="Document Map"/>
    <w:basedOn w:val="1"/>
    <w:link w:val="46"/>
    <w:unhideWhenUsed/>
    <w:qFormat/>
    <w:uiPriority w:val="0"/>
    <w:rPr>
      <w:rFonts w:ascii="宋体"/>
      <w:sz w:val="18"/>
      <w:szCs w:val="18"/>
    </w:rPr>
  </w:style>
  <w:style w:type="paragraph" w:styleId="11">
    <w:name w:val="annotation text"/>
    <w:basedOn w:val="1"/>
    <w:link w:val="41"/>
    <w:qFormat/>
    <w:uiPriority w:val="99"/>
    <w:pPr>
      <w:jc w:val="left"/>
    </w:pPr>
  </w:style>
  <w:style w:type="paragraph" w:styleId="12">
    <w:name w:val="Salutation"/>
    <w:basedOn w:val="1"/>
    <w:next w:val="1"/>
    <w:link w:val="73"/>
    <w:qFormat/>
    <w:uiPriority w:val="0"/>
    <w:pPr>
      <w:widowControl/>
      <w:spacing w:line="960" w:lineRule="exact"/>
    </w:pPr>
    <w:rPr>
      <w:rFonts w:ascii="Calibri" w:hAnsi="Calibri"/>
      <w:kern w:val="0"/>
      <w:sz w:val="24"/>
      <w:szCs w:val="20"/>
    </w:rPr>
  </w:style>
  <w:style w:type="paragraph" w:styleId="13">
    <w:name w:val="Body Text Indent"/>
    <w:basedOn w:val="1"/>
    <w:link w:val="64"/>
    <w:unhideWhenUsed/>
    <w:uiPriority w:val="99"/>
    <w:pPr>
      <w:spacing w:after="120"/>
      <w:ind w:left="420" w:leftChars="200"/>
    </w:pPr>
  </w:style>
  <w:style w:type="paragraph" w:styleId="14">
    <w:name w:val="toc 3"/>
    <w:basedOn w:val="1"/>
    <w:next w:val="1"/>
    <w:unhideWhenUsed/>
    <w:qFormat/>
    <w:uiPriority w:val="39"/>
    <w:pPr>
      <w:widowControl/>
      <w:spacing w:after="100" w:line="276" w:lineRule="auto"/>
      <w:ind w:left="440"/>
      <w:jc w:val="left"/>
    </w:pPr>
    <w:rPr>
      <w:kern w:val="0"/>
      <w:sz w:val="22"/>
      <w:szCs w:val="22"/>
    </w:rPr>
  </w:style>
  <w:style w:type="paragraph" w:styleId="15">
    <w:name w:val="Plain Text"/>
    <w:basedOn w:val="1"/>
    <w:link w:val="47"/>
    <w:qFormat/>
    <w:uiPriority w:val="99"/>
    <w:rPr>
      <w:rFonts w:ascii="宋体" w:hAnsi="Courier New" w:cs="Courier New"/>
      <w:szCs w:val="21"/>
    </w:rPr>
  </w:style>
  <w:style w:type="paragraph" w:styleId="16">
    <w:name w:val="Body Text Indent 2"/>
    <w:basedOn w:val="1"/>
    <w:link w:val="62"/>
    <w:unhideWhenUsed/>
    <w:qFormat/>
    <w:uiPriority w:val="99"/>
    <w:pPr>
      <w:spacing w:after="120" w:line="480" w:lineRule="auto"/>
      <w:ind w:left="420" w:leftChars="200"/>
    </w:pPr>
  </w:style>
  <w:style w:type="paragraph" w:styleId="17">
    <w:name w:val="Balloon Text"/>
    <w:basedOn w:val="1"/>
    <w:link w:val="70"/>
    <w:semiHidden/>
    <w:unhideWhenUsed/>
    <w:qFormat/>
    <w:uiPriority w:val="99"/>
    <w:rPr>
      <w:sz w:val="18"/>
      <w:szCs w:val="18"/>
    </w:rPr>
  </w:style>
  <w:style w:type="paragraph" w:styleId="18">
    <w:name w:val="footer"/>
    <w:basedOn w:val="1"/>
    <w:link w:val="44"/>
    <w:qFormat/>
    <w:uiPriority w:val="99"/>
    <w:pPr>
      <w:tabs>
        <w:tab w:val="center" w:pos="4153"/>
        <w:tab w:val="right" w:pos="8306"/>
      </w:tabs>
      <w:snapToGrid w:val="0"/>
      <w:jc w:val="left"/>
    </w:pPr>
    <w:rPr>
      <w:sz w:val="18"/>
      <w:szCs w:val="18"/>
    </w:rPr>
  </w:style>
  <w:style w:type="paragraph" w:styleId="19">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link w:val="63"/>
    <w:semiHidden/>
    <w:unhideWhenUsed/>
    <w:qFormat/>
    <w:uiPriority w:val="99"/>
    <w:pPr>
      <w:spacing w:after="120"/>
      <w:ind w:left="420" w:leftChars="200"/>
    </w:pPr>
    <w:rPr>
      <w:sz w:val="16"/>
      <w:szCs w:val="16"/>
    </w:rPr>
  </w:style>
  <w:style w:type="paragraph" w:styleId="22">
    <w:name w:val="toc 2"/>
    <w:basedOn w:val="1"/>
    <w:next w:val="1"/>
    <w:qFormat/>
    <w:uiPriority w:val="39"/>
    <w:pPr>
      <w:ind w:left="420" w:leftChars="200"/>
    </w:pPr>
  </w:style>
  <w:style w:type="paragraph" w:styleId="23">
    <w:name w:val="Normal (Web)"/>
    <w:basedOn w:val="1"/>
    <w:link w:val="48"/>
    <w:qFormat/>
    <w:uiPriority w:val="99"/>
    <w:pPr>
      <w:widowControl/>
      <w:spacing w:before="100" w:beforeAutospacing="1" w:after="100" w:afterAutospacing="1"/>
      <w:jc w:val="left"/>
    </w:pPr>
    <w:rPr>
      <w:rFonts w:ascii="宋体" w:hAnsi="宋体"/>
      <w:kern w:val="0"/>
      <w:sz w:val="24"/>
    </w:rPr>
  </w:style>
  <w:style w:type="character" w:styleId="26">
    <w:name w:val="Strong"/>
    <w:basedOn w:val="25"/>
    <w:qFormat/>
    <w:uiPriority w:val="22"/>
    <w:rPr>
      <w:b/>
      <w:bCs/>
    </w:rPr>
  </w:style>
  <w:style w:type="character" w:styleId="27">
    <w:name w:val="FollowedHyperlink"/>
    <w:basedOn w:val="25"/>
    <w:semiHidden/>
    <w:unhideWhenUsed/>
    <w:uiPriority w:val="99"/>
    <w:rPr>
      <w:color w:val="333333"/>
      <w:u w:val="none"/>
    </w:rPr>
  </w:style>
  <w:style w:type="character" w:styleId="28">
    <w:name w:val="Emphasis"/>
    <w:basedOn w:val="25"/>
    <w:qFormat/>
    <w:uiPriority w:val="0"/>
    <w:rPr>
      <w:i/>
      <w:iCs/>
    </w:rPr>
  </w:style>
  <w:style w:type="character" w:styleId="29">
    <w:name w:val="HTML Definition"/>
    <w:basedOn w:val="25"/>
    <w:semiHidden/>
    <w:unhideWhenUsed/>
    <w:uiPriority w:val="99"/>
    <w:rPr>
      <w:i/>
      <w:iCs/>
    </w:rPr>
  </w:style>
  <w:style w:type="character" w:styleId="30">
    <w:name w:val="Hyperlink"/>
    <w:basedOn w:val="25"/>
    <w:qFormat/>
    <w:uiPriority w:val="99"/>
    <w:rPr>
      <w:color w:val="333333"/>
      <w:u w:val="none"/>
    </w:rPr>
  </w:style>
  <w:style w:type="character" w:styleId="31">
    <w:name w:val="HTML Code"/>
    <w:basedOn w:val="25"/>
    <w:semiHidden/>
    <w:unhideWhenUsed/>
    <w:qFormat/>
    <w:uiPriority w:val="99"/>
    <w:rPr>
      <w:rFonts w:hint="default" w:ascii="Consolas" w:hAnsi="Consolas" w:eastAsia="Consolas" w:cs="Consolas"/>
      <w:color w:val="C7254E"/>
      <w:sz w:val="21"/>
      <w:szCs w:val="21"/>
      <w:bdr w:val="single" w:color="CCCCCC" w:sz="6" w:space="0"/>
      <w:shd w:val="clear" w:fill="F9F2F4"/>
    </w:rPr>
  </w:style>
  <w:style w:type="character" w:styleId="32">
    <w:name w:val="annotation reference"/>
    <w:unhideWhenUsed/>
    <w:qFormat/>
    <w:uiPriority w:val="99"/>
    <w:rPr>
      <w:sz w:val="21"/>
      <w:szCs w:val="21"/>
    </w:rPr>
  </w:style>
  <w:style w:type="character" w:styleId="33">
    <w:name w:val="HTML Keyboard"/>
    <w:basedOn w:val="25"/>
    <w:semiHidden/>
    <w:unhideWhenUsed/>
    <w:uiPriority w:val="99"/>
    <w:rPr>
      <w:rFonts w:hint="default" w:ascii="Consolas" w:hAnsi="Consolas" w:eastAsia="Consolas" w:cs="Consolas"/>
      <w:color w:val="FFFFFF"/>
      <w:sz w:val="21"/>
      <w:szCs w:val="21"/>
      <w:shd w:val="clear" w:fill="333333"/>
    </w:rPr>
  </w:style>
  <w:style w:type="character" w:styleId="34">
    <w:name w:val="HTML Sample"/>
    <w:basedOn w:val="25"/>
    <w:semiHidden/>
    <w:unhideWhenUsed/>
    <w:uiPriority w:val="99"/>
    <w:rPr>
      <w:rFonts w:ascii="Consolas" w:hAnsi="Consolas" w:eastAsia="Consolas" w:cs="Consolas"/>
      <w:sz w:val="21"/>
      <w:szCs w:val="21"/>
    </w:rPr>
  </w:style>
  <w:style w:type="character" w:customStyle="1" w:styleId="35">
    <w:name w:val="标题 1 Char"/>
    <w:link w:val="3"/>
    <w:uiPriority w:val="0"/>
    <w:rPr>
      <w:rFonts w:ascii="Times New Roman" w:hAnsi="Times New Roman" w:eastAsia="宋体" w:cs="Times New Roman"/>
      <w:b/>
      <w:bCs/>
      <w:kern w:val="44"/>
      <w:sz w:val="44"/>
      <w:szCs w:val="44"/>
    </w:rPr>
  </w:style>
  <w:style w:type="character" w:customStyle="1" w:styleId="36">
    <w:name w:val="标题 2 Char"/>
    <w:link w:val="4"/>
    <w:uiPriority w:val="9"/>
    <w:rPr>
      <w:rFonts w:ascii="Cambria" w:hAnsi="Cambria" w:eastAsia="宋体" w:cs="Times New Roman"/>
      <w:b/>
      <w:bCs/>
      <w:kern w:val="2"/>
      <w:sz w:val="32"/>
      <w:szCs w:val="32"/>
    </w:rPr>
  </w:style>
  <w:style w:type="character" w:customStyle="1" w:styleId="37">
    <w:name w:val="标题 3 Char"/>
    <w:link w:val="5"/>
    <w:uiPriority w:val="0"/>
    <w:rPr>
      <w:rFonts w:ascii="Times New Roman" w:hAnsi="Times New Roman"/>
      <w:b/>
      <w:bCs/>
      <w:kern w:val="2"/>
      <w:sz w:val="32"/>
      <w:szCs w:val="32"/>
    </w:rPr>
  </w:style>
  <w:style w:type="character" w:customStyle="1" w:styleId="38">
    <w:name w:val="标题 4 Char"/>
    <w:basedOn w:val="25"/>
    <w:link w:val="6"/>
    <w:uiPriority w:val="0"/>
    <w:rPr>
      <w:rFonts w:ascii="Arial" w:hAnsi="Arial" w:eastAsia="黑体"/>
      <w:bCs/>
      <w:sz w:val="24"/>
      <w:szCs w:val="28"/>
    </w:rPr>
  </w:style>
  <w:style w:type="character" w:customStyle="1" w:styleId="39">
    <w:name w:val="标题 8 Char"/>
    <w:link w:val="8"/>
    <w:qFormat/>
    <w:uiPriority w:val="0"/>
    <w:rPr>
      <w:rFonts w:ascii="Arial" w:hAnsi="Arial" w:eastAsia="黑体"/>
      <w:kern w:val="2"/>
      <w:sz w:val="24"/>
      <w:szCs w:val="24"/>
      <w:lang w:val="en-US" w:eastAsia="zh-CN" w:bidi="ar-SA"/>
    </w:rPr>
  </w:style>
  <w:style w:type="character" w:customStyle="1" w:styleId="40">
    <w:name w:val="正文缩进 Char"/>
    <w:link w:val="9"/>
    <w:qFormat/>
    <w:uiPriority w:val="0"/>
    <w:rPr>
      <w:kern w:val="2"/>
      <w:sz w:val="21"/>
      <w:szCs w:val="24"/>
    </w:rPr>
  </w:style>
  <w:style w:type="character" w:customStyle="1" w:styleId="41">
    <w:name w:val="批注文字 Char"/>
    <w:basedOn w:val="25"/>
    <w:link w:val="11"/>
    <w:qFormat/>
    <w:uiPriority w:val="99"/>
    <w:rPr>
      <w:kern w:val="2"/>
      <w:sz w:val="21"/>
      <w:szCs w:val="24"/>
    </w:rPr>
  </w:style>
  <w:style w:type="character" w:customStyle="1" w:styleId="42">
    <w:name w:val="批注文字 Char1"/>
    <w:basedOn w:val="25"/>
    <w:qFormat/>
    <w:uiPriority w:val="99"/>
    <w:rPr>
      <w:kern w:val="2"/>
      <w:sz w:val="21"/>
      <w:szCs w:val="24"/>
    </w:rPr>
  </w:style>
  <w:style w:type="character" w:customStyle="1" w:styleId="43">
    <w:name w:val="页眉 Char"/>
    <w:link w:val="19"/>
    <w:qFormat/>
    <w:uiPriority w:val="0"/>
    <w:rPr>
      <w:rFonts w:eastAsia="宋体"/>
      <w:kern w:val="2"/>
      <w:sz w:val="18"/>
      <w:szCs w:val="18"/>
      <w:lang w:val="en-US" w:eastAsia="zh-CN" w:bidi="ar-SA"/>
    </w:rPr>
  </w:style>
  <w:style w:type="character" w:customStyle="1" w:styleId="44">
    <w:name w:val="页脚 Char"/>
    <w:link w:val="18"/>
    <w:qFormat/>
    <w:uiPriority w:val="99"/>
    <w:rPr>
      <w:kern w:val="2"/>
      <w:sz w:val="18"/>
      <w:szCs w:val="18"/>
    </w:rPr>
  </w:style>
  <w:style w:type="character" w:customStyle="1" w:styleId="45">
    <w:name w:val="正文文本 Char"/>
    <w:basedOn w:val="25"/>
    <w:link w:val="2"/>
    <w:qFormat/>
    <w:uiPriority w:val="99"/>
    <w:rPr>
      <w:kern w:val="2"/>
      <w:sz w:val="21"/>
      <w:szCs w:val="24"/>
    </w:rPr>
  </w:style>
  <w:style w:type="character" w:customStyle="1" w:styleId="46">
    <w:name w:val="文档结构图 Char"/>
    <w:link w:val="10"/>
    <w:qFormat/>
    <w:uiPriority w:val="0"/>
    <w:rPr>
      <w:rFonts w:ascii="宋体"/>
      <w:kern w:val="2"/>
      <w:sz w:val="18"/>
      <w:szCs w:val="18"/>
    </w:rPr>
  </w:style>
  <w:style w:type="character" w:customStyle="1" w:styleId="47">
    <w:name w:val="纯文本 Char"/>
    <w:link w:val="15"/>
    <w:qFormat/>
    <w:uiPriority w:val="99"/>
    <w:rPr>
      <w:rFonts w:ascii="宋体" w:hAnsi="Courier New" w:cs="Courier New"/>
      <w:kern w:val="2"/>
      <w:sz w:val="21"/>
      <w:szCs w:val="21"/>
    </w:rPr>
  </w:style>
  <w:style w:type="character" w:customStyle="1" w:styleId="48">
    <w:name w:val="普通(网站) Char"/>
    <w:link w:val="23"/>
    <w:qFormat/>
    <w:uiPriority w:val="99"/>
    <w:rPr>
      <w:rFonts w:ascii="宋体" w:hAnsi="宋体"/>
      <w:sz w:val="24"/>
      <w:szCs w:val="24"/>
    </w:rPr>
  </w:style>
  <w:style w:type="paragraph" w:styleId="49">
    <w:name w:val="List Paragraph"/>
    <w:basedOn w:val="1"/>
    <w:qFormat/>
    <w:uiPriority w:val="34"/>
    <w:pPr>
      <w:ind w:firstLine="420" w:firstLineChars="200"/>
    </w:pPr>
  </w:style>
  <w:style w:type="character" w:customStyle="1" w:styleId="50">
    <w:name w:val="Intense Emphasis"/>
    <w:qFormat/>
    <w:uiPriority w:val="99"/>
    <w:rPr>
      <w:rFonts w:cs="Times New Roman"/>
      <w:b/>
      <w:i/>
      <w:sz w:val="24"/>
      <w:szCs w:val="24"/>
      <w:u w:val="single"/>
    </w:rPr>
  </w:style>
  <w:style w:type="paragraph" w:customStyle="1" w:styleId="51">
    <w:name w:val="TOC Heading"/>
    <w:basedOn w:val="3"/>
    <w:next w:val="1"/>
    <w:qFormat/>
    <w:uiPriority w:val="39"/>
    <w:pPr>
      <w:outlineLvl w:val="9"/>
    </w:pPr>
    <w:rPr>
      <w:rFonts w:ascii="Calibri" w:hAnsi="Calibri"/>
    </w:rPr>
  </w:style>
  <w:style w:type="paragraph" w:customStyle="1" w:styleId="52">
    <w:name w:val="正文文本 (2)1"/>
    <w:basedOn w:val="1"/>
    <w:link w:val="53"/>
    <w:qFormat/>
    <w:uiPriority w:val="0"/>
    <w:pPr>
      <w:shd w:val="clear" w:color="auto" w:fill="FFFFFF"/>
      <w:spacing w:line="451" w:lineRule="exact"/>
      <w:ind w:hanging="980"/>
      <w:jc w:val="distribute"/>
    </w:pPr>
    <w:rPr>
      <w:rFonts w:ascii="宋体"/>
      <w:kern w:val="0"/>
      <w:szCs w:val="21"/>
    </w:rPr>
  </w:style>
  <w:style w:type="character" w:customStyle="1" w:styleId="53">
    <w:name w:val="正文文本 (2)_"/>
    <w:link w:val="52"/>
    <w:qFormat/>
    <w:uiPriority w:val="0"/>
    <w:rPr>
      <w:rFonts w:ascii="宋体"/>
      <w:sz w:val="21"/>
      <w:szCs w:val="21"/>
      <w:shd w:val="clear" w:color="auto" w:fill="FFFFFF"/>
    </w:rPr>
  </w:style>
  <w:style w:type="paragraph" w:customStyle="1" w:styleId="54">
    <w:name w:val="列出段落11"/>
    <w:basedOn w:val="1"/>
    <w:qFormat/>
    <w:uiPriority w:val="34"/>
    <w:pPr>
      <w:ind w:firstLine="420" w:firstLineChars="200"/>
    </w:pPr>
    <w:rPr>
      <w:szCs w:val="22"/>
      <w:lang w:val="zh-CN"/>
    </w:rPr>
  </w:style>
  <w:style w:type="paragraph" w:customStyle="1" w:styleId="55">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5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7">
    <w:name w:val="Char1"/>
    <w:basedOn w:val="1"/>
    <w:qFormat/>
    <w:uiPriority w:val="0"/>
    <w:rPr>
      <w:szCs w:val="21"/>
    </w:rPr>
  </w:style>
  <w:style w:type="paragraph" w:customStyle="1" w:styleId="58">
    <w:name w:val="_Style 2"/>
    <w:basedOn w:val="1"/>
    <w:qFormat/>
    <w:uiPriority w:val="34"/>
    <w:pPr>
      <w:ind w:firstLine="420" w:firstLineChars="200"/>
    </w:pPr>
    <w:rPr>
      <w:szCs w:val="21"/>
    </w:rPr>
  </w:style>
  <w:style w:type="paragraph" w:customStyle="1" w:styleId="59">
    <w:name w:val="样式1"/>
    <w:basedOn w:val="1"/>
    <w:qFormat/>
    <w:uiPriority w:val="0"/>
    <w:pPr>
      <w:adjustRightInd w:val="0"/>
      <w:textAlignment w:val="baseline"/>
    </w:pPr>
    <w:rPr>
      <w:rFonts w:ascii="宋体" w:hAnsi="宋体"/>
      <w:kern w:val="0"/>
      <w:szCs w:val="21"/>
    </w:rPr>
  </w:style>
  <w:style w:type="paragraph" w:customStyle="1" w:styleId="60">
    <w:name w:val="title1"/>
    <w:basedOn w:val="1"/>
    <w:qFormat/>
    <w:uiPriority w:val="0"/>
    <w:pPr>
      <w:widowControl/>
      <w:jc w:val="left"/>
    </w:pPr>
    <w:rPr>
      <w:rFonts w:ascii="宋体" w:hAnsi="宋体" w:cs="宋体"/>
      <w:kern w:val="0"/>
      <w:sz w:val="24"/>
    </w:rPr>
  </w:style>
  <w:style w:type="paragraph" w:customStyle="1" w:styleId="61">
    <w:name w:val="默认段落字体 Para Char Char Char Char Char Char Char"/>
    <w:basedOn w:val="1"/>
    <w:uiPriority w:val="0"/>
    <w:rPr>
      <w:rFonts w:ascii="Tahoma" w:hAnsi="Tahoma"/>
      <w:sz w:val="24"/>
      <w:szCs w:val="20"/>
    </w:rPr>
  </w:style>
  <w:style w:type="character" w:customStyle="1" w:styleId="62">
    <w:name w:val="正文文本缩进 2 Char"/>
    <w:basedOn w:val="25"/>
    <w:link w:val="16"/>
    <w:qFormat/>
    <w:uiPriority w:val="99"/>
    <w:rPr>
      <w:rFonts w:ascii="Times New Roman" w:hAnsi="Times New Roman"/>
      <w:kern w:val="2"/>
      <w:sz w:val="21"/>
      <w:szCs w:val="24"/>
    </w:rPr>
  </w:style>
  <w:style w:type="character" w:customStyle="1" w:styleId="63">
    <w:name w:val="正文文本缩进 3 Char"/>
    <w:basedOn w:val="25"/>
    <w:link w:val="21"/>
    <w:semiHidden/>
    <w:qFormat/>
    <w:uiPriority w:val="99"/>
    <w:rPr>
      <w:rFonts w:ascii="Times New Roman" w:hAnsi="Times New Roman"/>
      <w:kern w:val="2"/>
      <w:sz w:val="16"/>
      <w:szCs w:val="16"/>
    </w:rPr>
  </w:style>
  <w:style w:type="character" w:customStyle="1" w:styleId="64">
    <w:name w:val="正文文本缩进 Char"/>
    <w:basedOn w:val="25"/>
    <w:link w:val="13"/>
    <w:qFormat/>
    <w:uiPriority w:val="99"/>
    <w:rPr>
      <w:rFonts w:ascii="Times New Roman" w:hAnsi="Times New Roman"/>
      <w:kern w:val="2"/>
      <w:sz w:val="21"/>
      <w:szCs w:val="24"/>
    </w:rPr>
  </w:style>
  <w:style w:type="character" w:customStyle="1" w:styleId="65">
    <w:name w:val="p0 Char"/>
    <w:link w:val="66"/>
    <w:qFormat/>
    <w:uiPriority w:val="0"/>
    <w:rPr>
      <w:sz w:val="21"/>
      <w:szCs w:val="21"/>
    </w:rPr>
  </w:style>
  <w:style w:type="paragraph" w:customStyle="1" w:styleId="66">
    <w:name w:val="p0"/>
    <w:basedOn w:val="1"/>
    <w:link w:val="65"/>
    <w:qFormat/>
    <w:uiPriority w:val="0"/>
    <w:pPr>
      <w:widowControl/>
    </w:pPr>
    <w:rPr>
      <w:rFonts w:ascii="Calibri" w:hAnsi="Calibri"/>
      <w:kern w:val="0"/>
      <w:szCs w:val="21"/>
    </w:rPr>
  </w:style>
  <w:style w:type="paragraph" w:customStyle="1" w:styleId="67">
    <w:name w:val="正文首行缩进两字符"/>
    <w:basedOn w:val="1"/>
    <w:qFormat/>
    <w:uiPriority w:val="99"/>
    <w:pPr>
      <w:spacing w:line="360" w:lineRule="auto"/>
      <w:ind w:firstLine="200" w:firstLineChars="200"/>
    </w:pPr>
  </w:style>
  <w:style w:type="character" w:customStyle="1" w:styleId="68">
    <w:name w:val="标题 7 Char"/>
    <w:basedOn w:val="25"/>
    <w:link w:val="7"/>
    <w:semiHidden/>
    <w:qFormat/>
    <w:uiPriority w:val="9"/>
    <w:rPr>
      <w:rFonts w:ascii="Times New Roman" w:hAnsi="Times New Roman"/>
      <w:b/>
      <w:bCs/>
      <w:kern w:val="2"/>
      <w:sz w:val="24"/>
      <w:szCs w:val="24"/>
    </w:rPr>
  </w:style>
  <w:style w:type="paragraph" w:customStyle="1" w:styleId="69">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character" w:customStyle="1" w:styleId="70">
    <w:name w:val="批注框文本 Char"/>
    <w:basedOn w:val="25"/>
    <w:link w:val="17"/>
    <w:semiHidden/>
    <w:qFormat/>
    <w:uiPriority w:val="99"/>
    <w:rPr>
      <w:rFonts w:ascii="Times New Roman" w:hAnsi="Times New Roman"/>
      <w:kern w:val="2"/>
      <w:sz w:val="18"/>
      <w:szCs w:val="18"/>
    </w:rPr>
  </w:style>
  <w:style w:type="paragraph" w:customStyle="1" w:styleId="71">
    <w:name w:val="样式 首行缩进:  2 字符"/>
    <w:basedOn w:val="1"/>
    <w:qFormat/>
    <w:uiPriority w:val="0"/>
    <w:pPr>
      <w:spacing w:line="400" w:lineRule="exact"/>
      <w:ind w:firstLine="200" w:firstLineChars="200"/>
    </w:pPr>
    <w:rPr>
      <w:rFonts w:cs="宋体"/>
      <w:sz w:val="24"/>
    </w:rPr>
  </w:style>
  <w:style w:type="character" w:customStyle="1" w:styleId="72">
    <w:name w:val="称呼 Char"/>
    <w:basedOn w:val="25"/>
    <w:link w:val="12"/>
    <w:qFormat/>
    <w:locked/>
    <w:uiPriority w:val="0"/>
    <w:rPr>
      <w:sz w:val="24"/>
    </w:rPr>
  </w:style>
  <w:style w:type="character" w:customStyle="1" w:styleId="73">
    <w:name w:val="称呼 Char1"/>
    <w:basedOn w:val="25"/>
    <w:link w:val="12"/>
    <w:semiHidden/>
    <w:qFormat/>
    <w:uiPriority w:val="99"/>
    <w:rPr>
      <w:rFonts w:ascii="Times New Roman" w:hAnsi="Times New Roman"/>
      <w:kern w:val="2"/>
      <w:sz w:val="21"/>
      <w:szCs w:val="24"/>
    </w:rPr>
  </w:style>
  <w:style w:type="paragraph" w:customStyle="1" w:styleId="74">
    <w:name w:val="xl48"/>
    <w:basedOn w:val="1"/>
    <w:qFormat/>
    <w:uiPriority w:val="0"/>
    <w:pPr>
      <w:widowControl/>
      <w:pBdr>
        <w:bottom w:val="single" w:color="auto" w:sz="4" w:space="0"/>
      </w:pBdr>
      <w:spacing w:before="100" w:beforeAutospacing="1" w:after="100" w:afterAutospacing="1" w:line="960" w:lineRule="exact"/>
      <w:jc w:val="center"/>
    </w:pPr>
    <w:rPr>
      <w:rFonts w:ascii="Calibri" w:hAnsi="Calibri"/>
      <w:kern w:val="0"/>
      <w:sz w:val="24"/>
    </w:rPr>
  </w:style>
  <w:style w:type="character" w:customStyle="1" w:styleId="75">
    <w:name w:val="tmpztreemove_arrow"/>
    <w:basedOn w:val="25"/>
    <w:qFormat/>
    <w:uiPriority w:val="0"/>
    <w:rPr>
      <w:shd w:val="clear" w:fill="FFFFFF"/>
    </w:rPr>
  </w:style>
  <w:style w:type="character" w:customStyle="1" w:styleId="76">
    <w:name w:val="button"/>
    <w:basedOn w:val="25"/>
    <w:uiPriority w:val="0"/>
  </w:style>
  <w:style w:type="character" w:customStyle="1" w:styleId="77">
    <w:name w:val="indent"/>
    <w:basedOn w:val="25"/>
    <w:qFormat/>
    <w:uiPriority w:val="0"/>
  </w:style>
  <w:style w:type="character" w:customStyle="1" w:styleId="78">
    <w:name w:val="hover3"/>
    <w:basedOn w:val="25"/>
    <w:qFormat/>
    <w:uiPriority w:val="0"/>
    <w:rPr>
      <w:shd w:val="clear" w:fill="EEEEEE"/>
    </w:rPr>
  </w:style>
  <w:style w:type="character" w:customStyle="1" w:styleId="79">
    <w:name w:val="old"/>
    <w:basedOn w:val="25"/>
    <w:qFormat/>
    <w:uiPriority w:val="0"/>
    <w:rPr>
      <w:color w:val="999999"/>
    </w:rPr>
  </w:style>
  <w:style w:type="character" w:customStyle="1" w:styleId="80">
    <w:name w:val="glyphicon4"/>
    <w:basedOn w:val="25"/>
    <w:qFormat/>
    <w:uiPriority w:val="0"/>
  </w:style>
  <w:style w:type="character" w:customStyle="1" w:styleId="81">
    <w:name w:val="hour_am"/>
    <w:basedOn w:val="25"/>
    <w:uiPriority w:val="0"/>
  </w:style>
  <w:style w:type="character" w:customStyle="1" w:styleId="82">
    <w:name w:val="hour_pm"/>
    <w:basedOn w:val="2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647497-F318-4E09-A2CF-59C8D2D82928}">
  <ds:schemaRefs/>
</ds:datastoreItem>
</file>

<file path=docProps/app.xml><?xml version="1.0" encoding="utf-8"?>
<Properties xmlns="http://schemas.openxmlformats.org/officeDocument/2006/extended-properties" xmlns:vt="http://schemas.openxmlformats.org/officeDocument/2006/docPropsVTypes">
  <Template>Normal</Template>
  <Pages>133</Pages>
  <Words>11868</Words>
  <Characters>67648</Characters>
  <Lines>563</Lines>
  <Paragraphs>158</Paragraphs>
  <TotalTime>41</TotalTime>
  <ScaleCrop>false</ScaleCrop>
  <LinksUpToDate>false</LinksUpToDate>
  <CharactersWithSpaces>79358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2021-05-27T06:11:00Z</dcterms:created>
  <dc:creator>Dell</dc:creator>
  <cp:lastModifiedBy>FF</cp:lastModifiedBy>
  <dcterms:modified xsi:type="dcterms:W3CDTF">2021-06-17T11:06:42Z</dcterms:modified>
  <cp:revision>284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AF887ABECC1D4EC3A0228C7895D1736C</vt:lpwstr>
  </property>
</Properties>
</file>